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Lines="50" w:line="360" w:lineRule="exact"/>
        <w:ind w:firstLine="0" w:firstLineChars="0"/>
        <w:rPr>
          <w:rFonts w:ascii="楷体" w:hAnsi="楷体" w:eastAsia="楷体"/>
          <w:b/>
          <w:color w:val="000000"/>
          <w:sz w:val="30"/>
          <w:szCs w:val="30"/>
        </w:rPr>
      </w:pPr>
    </w:p>
    <w:p>
      <w:pPr>
        <w:widowControl w:val="0"/>
        <w:spacing w:afterLines="50" w:line="360" w:lineRule="exact"/>
        <w:ind w:firstLine="720"/>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中国新闻奖参评作品推荐表</w:t>
      </w:r>
    </w:p>
    <w:tbl>
      <w:tblPr>
        <w:tblStyle w:val="4"/>
        <w:tblpPr w:leftFromText="180" w:rightFromText="180" w:vertAnchor="text"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0"/>
        <w:gridCol w:w="1109"/>
        <w:gridCol w:w="1559"/>
        <w:gridCol w:w="1559"/>
        <w:gridCol w:w="1413"/>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1551" w:type="dxa"/>
            <w:gridSpan w:val="2"/>
            <w:vMerge w:val="restart"/>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4227" w:type="dxa"/>
            <w:gridSpan w:val="3"/>
            <w:vMerge w:val="restart"/>
            <w:vAlign w:val="center"/>
          </w:tcPr>
          <w:p>
            <w:pPr>
              <w:widowControl w:val="0"/>
              <w:spacing w:line="300" w:lineRule="exact"/>
              <w:ind w:firstLine="0" w:firstLineChars="0"/>
              <w:jc w:val="center"/>
              <w:rPr>
                <w:rFonts w:ascii="华文中宋" w:hAnsi="华文中宋" w:eastAsia="华文中宋"/>
                <w:color w:val="000000"/>
                <w:sz w:val="28"/>
              </w:rPr>
            </w:pPr>
            <w:r>
              <w:rPr>
                <w:rFonts w:hint="eastAsia" w:ascii="仿宋_GB2312" w:hAnsi="华文中宋" w:eastAsia="仿宋_GB2312"/>
                <w:color w:val="000000"/>
                <w:sz w:val="28"/>
              </w:rPr>
              <w:t>吉林，兴于粮，岂止于粮！</w:t>
            </w:r>
          </w:p>
        </w:tc>
        <w:tc>
          <w:tcPr>
            <w:tcW w:w="1413"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2556" w:type="dxa"/>
            <w:vAlign w:val="center"/>
          </w:tcPr>
          <w:p>
            <w:pPr>
              <w:widowControl w:val="0"/>
              <w:spacing w:line="300" w:lineRule="exact"/>
              <w:ind w:firstLine="0" w:firstLineChars="0"/>
              <w:jc w:val="center"/>
              <w:rPr>
                <w:rFonts w:ascii="仿宋_GB2312" w:eastAsia="仿宋_GB2312"/>
                <w:color w:val="000000"/>
                <w:sz w:val="28"/>
              </w:rPr>
            </w:pPr>
            <w:r>
              <w:rPr>
                <w:rFonts w:hint="eastAsia" w:ascii="仿宋_GB2312" w:eastAsia="仿宋_GB2312"/>
                <w:color w:val="000000"/>
                <w:sz w:val="28"/>
              </w:rPr>
              <w:t>典型报道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551" w:type="dxa"/>
            <w:gridSpan w:val="2"/>
            <w:vMerge w:val="continue"/>
            <w:vAlign w:val="center"/>
          </w:tcPr>
          <w:p>
            <w:pPr>
              <w:widowControl w:val="0"/>
              <w:spacing w:line="380" w:lineRule="exact"/>
              <w:ind w:firstLine="560"/>
              <w:jc w:val="center"/>
              <w:rPr>
                <w:rFonts w:ascii="华文中宋" w:hAnsi="华文中宋" w:eastAsia="华文中宋"/>
                <w:color w:val="000000"/>
                <w:sz w:val="28"/>
              </w:rPr>
            </w:pPr>
          </w:p>
        </w:tc>
        <w:tc>
          <w:tcPr>
            <w:tcW w:w="4227" w:type="dxa"/>
            <w:gridSpan w:val="3"/>
            <w:vMerge w:val="continue"/>
            <w:vAlign w:val="center"/>
          </w:tcPr>
          <w:p>
            <w:pPr>
              <w:widowControl w:val="0"/>
              <w:spacing w:line="380" w:lineRule="exact"/>
              <w:ind w:firstLine="560"/>
              <w:jc w:val="center"/>
              <w:rPr>
                <w:rFonts w:ascii="华文中宋" w:hAnsi="华文中宋" w:eastAsia="华文中宋"/>
                <w:color w:val="000000"/>
                <w:sz w:val="28"/>
              </w:rPr>
            </w:pPr>
          </w:p>
        </w:tc>
        <w:tc>
          <w:tcPr>
            <w:tcW w:w="1413"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2556" w:type="dxa"/>
            <w:vAlign w:val="center"/>
          </w:tcPr>
          <w:p>
            <w:pPr>
              <w:widowControl w:val="0"/>
              <w:spacing w:line="300" w:lineRule="exact"/>
              <w:ind w:firstLine="0" w:firstLineChars="0"/>
              <w:jc w:val="center"/>
              <w:rPr>
                <w:rFonts w:ascii="仿宋_GB2312" w:hAnsi="仿宋" w:eastAsia="仿宋_GB2312"/>
                <w:color w:val="000000"/>
                <w:sz w:val="28"/>
              </w:rPr>
            </w:pPr>
            <w:r>
              <w:rPr>
                <w:rFonts w:hint="eastAsia" w:ascii="仿宋_GB2312" w:eastAsia="仿宋_GB2312"/>
                <w:color w:val="000000"/>
                <w:sz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551" w:type="dxa"/>
            <w:gridSpan w:val="2"/>
            <w:vMerge w:val="continue"/>
            <w:vAlign w:val="center"/>
          </w:tcPr>
          <w:p>
            <w:pPr>
              <w:widowControl w:val="0"/>
              <w:spacing w:line="380" w:lineRule="exact"/>
              <w:ind w:firstLine="560"/>
              <w:jc w:val="center"/>
              <w:rPr>
                <w:rFonts w:ascii="华文中宋" w:hAnsi="华文中宋" w:eastAsia="华文中宋"/>
                <w:color w:val="000000"/>
                <w:sz w:val="28"/>
              </w:rPr>
            </w:pPr>
          </w:p>
        </w:tc>
        <w:tc>
          <w:tcPr>
            <w:tcW w:w="4227" w:type="dxa"/>
            <w:gridSpan w:val="3"/>
            <w:vMerge w:val="continue"/>
            <w:vAlign w:val="center"/>
          </w:tcPr>
          <w:p>
            <w:pPr>
              <w:widowControl w:val="0"/>
              <w:spacing w:line="380" w:lineRule="exact"/>
              <w:ind w:firstLine="560"/>
              <w:jc w:val="center"/>
              <w:rPr>
                <w:rFonts w:ascii="华文中宋" w:hAnsi="华文中宋" w:eastAsia="华文中宋"/>
                <w:color w:val="000000"/>
                <w:sz w:val="28"/>
              </w:rPr>
            </w:pPr>
          </w:p>
        </w:tc>
        <w:tc>
          <w:tcPr>
            <w:tcW w:w="1413"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2556" w:type="dxa"/>
            <w:vAlign w:val="center"/>
          </w:tcPr>
          <w:p>
            <w:pPr>
              <w:widowControl w:val="0"/>
              <w:spacing w:line="300" w:lineRule="exact"/>
              <w:ind w:firstLine="0" w:firstLineChars="0"/>
              <w:jc w:val="center"/>
              <w:rPr>
                <w:rFonts w:ascii="仿宋_GB2312" w:eastAsia="仿宋_GB2312"/>
                <w:color w:val="000000"/>
                <w:sz w:val="28"/>
              </w:rPr>
            </w:pPr>
            <w:r>
              <w:rPr>
                <w:rFonts w:hint="eastAsia" w:ascii="仿宋_GB2312" w:hAnsi="华文中宋" w:eastAsia="仿宋_GB2312"/>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1" w:type="dxa"/>
            <w:gridSpan w:val="2"/>
            <w:vAlign w:val="center"/>
          </w:tcPr>
          <w:p>
            <w:pPr>
              <w:widowControl w:val="0"/>
              <w:spacing w:line="320" w:lineRule="exact"/>
              <w:ind w:firstLine="0" w:firstLineChars="0"/>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widowControl w:val="0"/>
              <w:spacing w:line="320" w:lineRule="exact"/>
              <w:ind w:firstLine="0" w:firstLineChars="0"/>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68" w:type="dxa"/>
            <w:gridSpan w:val="2"/>
            <w:vAlign w:val="center"/>
          </w:tcPr>
          <w:p>
            <w:pPr>
              <w:widowControl w:val="0"/>
              <w:spacing w:line="300" w:lineRule="exact"/>
              <w:ind w:firstLine="0" w:firstLineChars="0"/>
              <w:jc w:val="center"/>
              <w:rPr>
                <w:rFonts w:hint="eastAsia" w:ascii="仿宋_GB2312" w:hAnsi="华文中宋" w:eastAsia="仿宋_GB2312"/>
                <w:color w:val="000000"/>
                <w:sz w:val="28"/>
                <w:lang w:eastAsia="zh-CN"/>
              </w:rPr>
            </w:pPr>
            <w:r>
              <w:rPr>
                <w:rFonts w:hint="eastAsia" w:ascii="仿宋_GB2312" w:hAnsi="华文中宋" w:eastAsia="仿宋_GB2312"/>
                <w:color w:val="000000"/>
                <w:sz w:val="28"/>
                <w:lang w:val="en-US" w:eastAsia="zh-CN"/>
              </w:rPr>
              <w:t>集体（</w:t>
            </w:r>
            <w:r>
              <w:rPr>
                <w:rFonts w:ascii="仿宋_GB2312" w:hAnsi="华文中宋" w:eastAsia="仿宋_GB2312"/>
                <w:color w:val="000000"/>
                <w:sz w:val="28"/>
              </w:rPr>
              <w:t>何兰生 焦宏 曹茸 阎红玉 孟德才</w:t>
            </w:r>
            <w:r>
              <w:rPr>
                <w:rFonts w:hint="eastAsia" w:ascii="仿宋_GB2312" w:hAnsi="华文中宋" w:eastAsia="仿宋_GB2312"/>
                <w:color w:val="000000"/>
                <w:sz w:val="28"/>
                <w:lang w:eastAsia="zh-CN"/>
              </w:rPr>
              <w:t>）</w:t>
            </w:r>
            <w:bookmarkStart w:id="0" w:name="_GoBack"/>
            <w:bookmarkEnd w:id="0"/>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3969" w:type="dxa"/>
            <w:gridSpan w:val="2"/>
            <w:vAlign w:val="center"/>
          </w:tcPr>
          <w:p>
            <w:pPr>
              <w:widowControl w:val="0"/>
              <w:spacing w:line="240" w:lineRule="exact"/>
              <w:ind w:firstLine="529"/>
              <w:rPr>
                <w:rFonts w:ascii="仿宋" w:hAnsi="仿宋" w:eastAsia="仿宋"/>
                <w:color w:val="000000"/>
                <w:w w:val="95"/>
                <w:sz w:val="28"/>
                <w:szCs w:val="28"/>
              </w:rPr>
            </w:pPr>
            <w:r>
              <w:rPr>
                <w:rFonts w:hint="eastAsia" w:ascii="仿宋" w:hAnsi="仿宋" w:eastAsia="仿宋"/>
                <w:color w:val="000000"/>
                <w:w w:val="95"/>
                <w:sz w:val="28"/>
                <w:szCs w:val="28"/>
              </w:rPr>
              <w:t>郑惊鸿 卢静 王文珺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551" w:type="dxa"/>
            <w:gridSpan w:val="2"/>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68" w:type="dxa"/>
            <w:gridSpan w:val="2"/>
            <w:vAlign w:val="center"/>
          </w:tcPr>
          <w:p>
            <w:pPr>
              <w:widowControl w:val="0"/>
              <w:spacing w:line="300" w:lineRule="exact"/>
              <w:ind w:firstLine="0" w:firstLineChars="0"/>
              <w:jc w:val="center"/>
              <w:rPr>
                <w:rFonts w:ascii="仿宋_GB2312" w:hAnsi="仿宋" w:eastAsia="仿宋_GB2312"/>
                <w:color w:val="000000"/>
                <w:szCs w:val="21"/>
              </w:rPr>
            </w:pPr>
            <w:r>
              <w:rPr>
                <w:rFonts w:hint="eastAsia" w:ascii="仿宋_GB2312" w:hAnsi="华文中宋" w:eastAsia="仿宋_GB2312"/>
                <w:color w:val="000000"/>
                <w:sz w:val="28"/>
              </w:rPr>
              <w:t>农民日报社</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3969" w:type="dxa"/>
            <w:gridSpan w:val="2"/>
            <w:vAlign w:val="center"/>
          </w:tcPr>
          <w:p>
            <w:pPr>
              <w:widowControl w:val="0"/>
              <w:spacing w:line="300" w:lineRule="exact"/>
              <w:ind w:firstLine="0" w:firstLineChars="0"/>
              <w:jc w:val="center"/>
              <w:rPr>
                <w:rFonts w:ascii="仿宋_GB2312" w:hAnsi="仿宋" w:eastAsia="仿宋_GB2312"/>
                <w:color w:val="000000"/>
                <w:sz w:val="18"/>
                <w:szCs w:val="18"/>
                <w:highlight w:val="green"/>
              </w:rPr>
            </w:pPr>
            <w:r>
              <w:rPr>
                <w:rFonts w:hint="eastAsia" w:ascii="仿宋_GB2312" w:hAnsi="华文中宋" w:eastAsia="仿宋_GB2312"/>
                <w:color w:val="000000"/>
                <w:sz w:val="28"/>
              </w:rPr>
              <w:t>农民日报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1551" w:type="dxa"/>
            <w:gridSpan w:val="2"/>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68" w:type="dxa"/>
            <w:gridSpan w:val="2"/>
            <w:vAlign w:val="center"/>
          </w:tcPr>
          <w:p>
            <w:pPr>
              <w:widowControl w:val="0"/>
              <w:spacing w:line="340" w:lineRule="exact"/>
              <w:ind w:firstLine="0" w:firstLineChars="0"/>
              <w:jc w:val="center"/>
              <w:rPr>
                <w:rFonts w:ascii="仿宋_GB2312" w:hAnsi="仿宋" w:eastAsia="仿宋_GB2312"/>
                <w:color w:val="000000"/>
                <w:szCs w:val="21"/>
              </w:rPr>
            </w:pPr>
            <w:r>
              <w:rPr>
                <w:rFonts w:hint="eastAsia" w:ascii="仿宋_GB2312" w:hAnsi="华文中宋" w:eastAsia="仿宋_GB2312"/>
                <w:color w:val="000000"/>
                <w:sz w:val="28"/>
              </w:rPr>
              <w:t>要闻</w:t>
            </w:r>
            <w:r>
              <w:rPr>
                <w:rFonts w:hint="eastAsia" w:ascii="仿宋_GB2312" w:hAnsi="华文中宋" w:eastAsia="仿宋_GB2312"/>
                <w:color w:val="000000"/>
                <w:sz w:val="28"/>
                <w:lang w:eastAsia="zh-CN"/>
              </w:rPr>
              <w:t>，</w:t>
            </w:r>
            <w:r>
              <w:rPr>
                <w:rFonts w:hint="eastAsia" w:ascii="仿宋_GB2312" w:hAnsi="华文中宋" w:eastAsia="仿宋_GB2312"/>
                <w:color w:val="000000"/>
                <w:sz w:val="28"/>
              </w:rPr>
              <w:t>一版</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3969" w:type="dxa"/>
            <w:gridSpan w:val="2"/>
            <w:vAlign w:val="center"/>
          </w:tcPr>
          <w:p>
            <w:pPr>
              <w:widowControl w:val="0"/>
              <w:spacing w:line="300" w:lineRule="exact"/>
              <w:ind w:firstLine="0" w:firstLineChars="0"/>
              <w:jc w:val="center"/>
              <w:rPr>
                <w:rFonts w:ascii="仿宋_GB2312" w:hAnsi="仿宋" w:eastAsia="仿宋_GB2312"/>
                <w:color w:val="000000"/>
                <w:szCs w:val="21"/>
              </w:rPr>
            </w:pPr>
            <w:r>
              <w:rPr>
                <w:rFonts w:hint="eastAsia" w:ascii="仿宋_GB2312" w:hAnsi="华文中宋" w:eastAsia="仿宋_GB2312"/>
                <w:color w:val="000000"/>
                <w:sz w:val="28"/>
              </w:rPr>
              <w:t>2021年11月3日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trPr>
        <w:tc>
          <w:tcPr>
            <w:tcW w:w="2660" w:type="dxa"/>
            <w:gridSpan w:val="3"/>
            <w:vAlign w:val="center"/>
          </w:tcPr>
          <w:p>
            <w:pPr>
              <w:widowControl w:val="0"/>
              <w:spacing w:line="300" w:lineRule="exact"/>
              <w:ind w:firstLine="0" w:firstLineChars="0"/>
              <w:rPr>
                <w:rFonts w:ascii="华文中宋" w:hAnsi="华文中宋" w:eastAsia="华文中宋"/>
                <w:color w:val="000000"/>
                <w:w w:val="95"/>
                <w:sz w:val="28"/>
                <w:szCs w:val="28"/>
              </w:rPr>
            </w:pPr>
            <w:r>
              <w:rPr>
                <w:rFonts w:hint="eastAsia" w:ascii="华文中宋" w:hAnsi="华文中宋" w:eastAsia="华文中宋"/>
                <w:color w:val="000000"/>
                <w:w w:val="95"/>
                <w:sz w:val="28"/>
                <w:szCs w:val="28"/>
              </w:rPr>
              <w:t>新媒体作品填报网址</w:t>
            </w:r>
          </w:p>
        </w:tc>
        <w:tc>
          <w:tcPr>
            <w:tcW w:w="7087" w:type="dxa"/>
            <w:gridSpan w:val="4"/>
            <w:vAlign w:val="center"/>
          </w:tcPr>
          <w:p>
            <w:pPr>
              <w:widowControl w:val="0"/>
              <w:spacing w:line="260" w:lineRule="exact"/>
              <w:ind w:firstLine="0" w:firstLineChars="0"/>
              <w:jc w:val="both"/>
              <w:rPr>
                <w:rFonts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1" w:hRule="atLeast"/>
        </w:trPr>
        <w:tc>
          <w:tcPr>
            <w:tcW w:w="1101" w:type="dxa"/>
            <w:vAlign w:val="center"/>
          </w:tcPr>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采作</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编品</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过简</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程介</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646" w:type="dxa"/>
            <w:gridSpan w:val="6"/>
          </w:tcPr>
          <w:p>
            <w:pPr>
              <w:widowControl w:val="0"/>
              <w:spacing w:line="240" w:lineRule="auto"/>
              <w:ind w:firstLine="480"/>
              <w:rPr>
                <w:rFonts w:ascii="仿宋" w:hAnsi="仿宋" w:eastAsia="仿宋"/>
                <w:color w:val="000000"/>
                <w:sz w:val="24"/>
                <w:szCs w:val="24"/>
              </w:rPr>
            </w:pPr>
            <w:r>
              <w:rPr>
                <w:rFonts w:hint="eastAsia" w:ascii="仿宋" w:hAnsi="仿宋" w:eastAsia="仿宋"/>
                <w:color w:val="000000"/>
                <w:sz w:val="24"/>
                <w:szCs w:val="24"/>
              </w:rPr>
              <w:t>习近平总书记对农业现代化念兹在兹，对东北“大粮仓”十分关注。五年间，总书记三赴吉林考察，亲自为吉林发展把脉定向、领航鼓劲。吉林省将总书记的嘱托要求贯彻落实得如何？进行了哪些农业现代化的实践探索？农民日报特派出采访组深入吉林采访调研。</w:t>
            </w:r>
          </w:p>
          <w:p>
            <w:pPr>
              <w:widowControl w:val="0"/>
              <w:spacing w:line="240" w:lineRule="auto"/>
              <w:ind w:firstLine="480"/>
              <w:rPr>
                <w:rFonts w:ascii="仿宋_GB2312" w:hAnsi="华文中宋" w:eastAsia="仿宋_GB2312"/>
                <w:color w:val="000000"/>
                <w:sz w:val="24"/>
                <w:szCs w:val="18"/>
              </w:rPr>
            </w:pPr>
            <w:r>
              <w:rPr>
                <w:rFonts w:hint="eastAsia" w:ascii="仿宋" w:hAnsi="仿宋" w:eastAsia="仿宋"/>
                <w:color w:val="000000"/>
                <w:sz w:val="24"/>
                <w:szCs w:val="24"/>
              </w:rPr>
              <w:t>本文以吉林省农业发展困境为切口，生动再现了吉林运用政策、资金、科技等举措把粮食优势转化为产业优势，进而实现“兴粮、强县、富民”目标的壮阔历程，</w:t>
            </w:r>
            <w:r>
              <w:rPr>
                <w:rFonts w:hint="eastAsia" w:ascii="仿宋" w:hAnsi="仿宋" w:eastAsia="仿宋" w:cs="仿宋_GB2312"/>
                <w:sz w:val="24"/>
                <w:szCs w:val="24"/>
              </w:rPr>
              <w:t>全景展现了吉林贯彻落实习近平总书记指示要求的新做法、新经验、新成效，</w:t>
            </w:r>
            <w:r>
              <w:rPr>
                <w:rFonts w:hint="eastAsia" w:ascii="仿宋" w:hAnsi="仿宋" w:eastAsia="仿宋"/>
                <w:color w:val="000000"/>
                <w:sz w:val="24"/>
                <w:szCs w:val="24"/>
              </w:rPr>
              <w:t>深刻总结了吉林从传统粮食大省转变为农业强省、经济大省的宝贵经验。文章着重分析了吉林积极打造“梨树模式”，探索出了兼顾粮食生产与黑土地保护的耕作方式；发挥粮食大省的资源优势，巧妙应用“秸秆变肉”的资源再利用方式，激活带动了上下游产业；以及以县域为主战场，延长产业链、拓展产业集群，将“大粮仓”“大肉库”变为“中央厨房”的创新举措，对于其他地区开展农业现代化实践具有积极的借鉴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6" w:hRule="exact"/>
        </w:trPr>
        <w:tc>
          <w:tcPr>
            <w:tcW w:w="110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社</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会</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效</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646" w:type="dxa"/>
            <w:gridSpan w:val="6"/>
          </w:tcPr>
          <w:p>
            <w:pPr>
              <w:widowControl w:val="0"/>
              <w:spacing w:line="240" w:lineRule="auto"/>
              <w:ind w:firstLine="480"/>
              <w:rPr>
                <w:rFonts w:ascii="仿宋_GB2312" w:hAnsi="华文中宋" w:eastAsia="仿宋_GB2312"/>
                <w:color w:val="000000"/>
                <w:sz w:val="24"/>
                <w:szCs w:val="18"/>
              </w:rPr>
            </w:pPr>
            <w:r>
              <w:rPr>
                <w:rFonts w:hint="eastAsia" w:ascii="仿宋_GB2312" w:hAnsi="华文中宋" w:eastAsia="仿宋_GB2312"/>
                <w:color w:val="000000"/>
                <w:sz w:val="24"/>
                <w:szCs w:val="18"/>
              </w:rPr>
              <w:t xml:space="preserve">本文在农民日报头版头条刊发，作为本报重磅栏目“落实习近平总书记指示要求·调研记”的首篇报道，通过讲述吉林从传统农业大省到农业强省的跨越性转变，深刻总结了黑土地上的劳动人民将粮食优势转化为富民产业的伟大实践创造， </w:t>
            </w:r>
            <w:r>
              <w:rPr>
                <w:rFonts w:hint="eastAsia" w:ascii="仿宋_GB2312" w:hAnsi="仿宋_GB2312" w:eastAsia="仿宋_GB2312" w:cs="仿宋_GB2312"/>
                <w:color w:val="000000"/>
                <w:sz w:val="24"/>
                <w:szCs w:val="24"/>
              </w:rPr>
              <w:t>在当前世纪疫情和百年变局的背景下，对各地认真贯彻落实党中央重农抓粮战略发挥了积极作用，切实提高了社会各界对粮食安全重大意义的认识。</w:t>
            </w:r>
          </w:p>
          <w:p>
            <w:pPr>
              <w:widowControl w:val="0"/>
              <w:spacing w:line="240" w:lineRule="auto"/>
              <w:ind w:firstLine="48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文章一经刊发，在全国及粮食主产区引起强烈反响，吉林省主要领导批示要求吉林省各级部门认真学习，提高认识，守住大粮仓，保住黑土地。经各大门户网站和新媒体平台转发后，文章的传播力和影响力得到进一步释放，通过吉林省</w:t>
            </w:r>
            <w:r>
              <w:rPr>
                <w:rFonts w:hint="eastAsia" w:ascii="仿宋_GB2312" w:hAnsi="华文中宋" w:eastAsia="仿宋_GB2312"/>
                <w:color w:val="000000"/>
                <w:sz w:val="24"/>
                <w:szCs w:val="24"/>
              </w:rPr>
              <w:t>兴于粮、岂止于粮的发展成就，</w:t>
            </w:r>
            <w:r>
              <w:rPr>
                <w:rFonts w:hint="eastAsia" w:ascii="仿宋_GB2312" w:hAnsi="仿宋_GB2312" w:eastAsia="仿宋_GB2312" w:cs="仿宋_GB2312"/>
                <w:color w:val="000000"/>
                <w:sz w:val="24"/>
                <w:szCs w:val="24"/>
              </w:rPr>
              <w:t>向社会各界传达了中国完全有条件、有能力、有信心依靠自身力量把</w:t>
            </w:r>
            <w:r>
              <w:rPr>
                <w:rFonts w:hint="eastAsia" w:ascii="仿宋_GB2312" w:hAnsi="仿宋_GB2312" w:eastAsia="仿宋_GB2312" w:cs="仿宋_GB2312"/>
                <w:sz w:val="24"/>
                <w:szCs w:val="24"/>
              </w:rPr>
              <w:t>中国人的饭碗牢牢端在自己手上，而且主要装中国粮。</w:t>
            </w:r>
          </w:p>
          <w:p>
            <w:pPr>
              <w:pStyle w:val="2"/>
              <w:shd w:val="clear" w:color="auto" w:fill="FFFFFF"/>
              <w:spacing w:beforeAutospacing="0" w:after="105" w:afterAutospacing="0" w:line="10" w:lineRule="atLeast"/>
              <w:ind w:firstLine="480"/>
              <w:rPr>
                <w:rFonts w:hint="default" w:ascii="仿宋_GB2312" w:hAnsi="华文中宋" w:eastAsia="仿宋_GB2312"/>
                <w:b w:val="0"/>
                <w:bCs w:val="0"/>
                <w:color w:val="000000"/>
                <w:kern w:val="2"/>
                <w:sz w:val="24"/>
                <w:szCs w:val="18"/>
              </w:rPr>
            </w:pPr>
          </w:p>
          <w:p>
            <w:pPr>
              <w:widowControl w:val="0"/>
              <w:spacing w:line="240" w:lineRule="auto"/>
              <w:ind w:firstLine="480"/>
              <w:rPr>
                <w:rFonts w:ascii="仿宋_GB2312" w:hAnsi="华文中宋" w:eastAsia="仿宋_GB2312"/>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4" w:hRule="exact"/>
        </w:trPr>
        <w:tc>
          <w:tcPr>
            <w:tcW w:w="1101" w:type="dxa"/>
            <w:tcBorders>
              <w:bottom w:val="single" w:color="auto" w:sz="4" w:space="0"/>
            </w:tcBorders>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初推</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评荐</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评理</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语由</w:t>
            </w:r>
          </w:p>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 xml:space="preserve"> </w:t>
            </w:r>
            <w:r>
              <w:rPr>
                <w:rFonts w:ascii="华文中宋" w:hAnsi="华文中宋" w:eastAsia="华文中宋"/>
                <w:color w:val="000000"/>
                <w:sz w:val="28"/>
              </w:rPr>
              <w:t xml:space="preserve"> </w:t>
            </w:r>
            <w:r>
              <w:rPr>
                <w:rFonts w:hint="eastAsia" w:ascii="华文中宋" w:hAnsi="华文中宋" w:eastAsia="华文中宋"/>
                <w:color w:val="000000"/>
                <w:sz w:val="28"/>
              </w:rPr>
              <w:t xml:space="preserve"> ︶</w:t>
            </w:r>
          </w:p>
        </w:tc>
        <w:tc>
          <w:tcPr>
            <w:tcW w:w="8646" w:type="dxa"/>
            <w:gridSpan w:val="6"/>
            <w:tcBorders>
              <w:bottom w:val="single" w:color="auto" w:sz="4" w:space="0"/>
            </w:tcBorders>
          </w:tcPr>
          <w:p>
            <w:pPr>
              <w:widowControl w:val="0"/>
              <w:spacing w:line="240" w:lineRule="auto"/>
              <w:ind w:firstLine="480"/>
              <w:rPr>
                <w:rFonts w:ascii="仿宋_GB2312" w:hAnsi="华文中宋" w:eastAsia="仿宋_GB2312"/>
                <w:color w:val="000000"/>
                <w:sz w:val="24"/>
                <w:szCs w:val="18"/>
              </w:rPr>
            </w:pPr>
          </w:p>
          <w:p>
            <w:pPr>
              <w:widowControl w:val="0"/>
              <w:spacing w:line="240" w:lineRule="auto"/>
              <w:ind w:firstLine="480"/>
              <w:rPr>
                <w:rFonts w:ascii="仿宋_GB2312" w:hAnsi="华文中宋" w:eastAsia="仿宋_GB2312"/>
                <w:color w:val="000000"/>
                <w:sz w:val="24"/>
                <w:szCs w:val="18"/>
              </w:rPr>
            </w:pPr>
            <w:r>
              <w:rPr>
                <w:rFonts w:hint="eastAsia" w:ascii="仿宋_GB2312" w:hAnsi="华文中宋" w:eastAsia="仿宋_GB2312"/>
                <w:color w:val="000000"/>
                <w:sz w:val="24"/>
                <w:szCs w:val="18"/>
              </w:rPr>
              <w:t>一、站位高远，立意深刻。习近平总书记对农业现代化高度重视，吉林是粮食大省，在我国农业现代化中占有举足轻重的地位。本文紧紧围绕吉林认真贯彻落实习近平总书记重要指示精神进行农业现代化的生动实践展开报道，充分发挥农民日报“三重”报道（重大经验、重大典型、重大评论）的经验优势，立足地方，放眼全国，为吉林经验在全国的推行提供了有力舆论支撑。</w:t>
            </w:r>
          </w:p>
          <w:p>
            <w:pPr>
              <w:widowControl w:val="0"/>
              <w:spacing w:line="240" w:lineRule="auto"/>
              <w:ind w:firstLine="480"/>
              <w:rPr>
                <w:rFonts w:ascii="仿宋_GB2312" w:hAnsi="华文中宋" w:eastAsia="仿宋_GB2312"/>
                <w:color w:val="000000"/>
                <w:sz w:val="24"/>
                <w:szCs w:val="18"/>
              </w:rPr>
            </w:pPr>
            <w:r>
              <w:rPr>
                <w:rFonts w:hint="eastAsia" w:ascii="仿宋_GB2312" w:hAnsi="华文中宋" w:eastAsia="仿宋_GB2312"/>
                <w:color w:val="000000"/>
                <w:sz w:val="24"/>
                <w:szCs w:val="18"/>
              </w:rPr>
              <w:t>二、问题导向，分析透彻。文章以“米袋子与钱袋子怎样都装满？”“除了粮食还有啥？”“‘梨树模式’为何众所瞩目？”等六个问题结构全篇，环环相扣、步步深入，逻辑脉络清晰，论述准确有力，将吉林开展农业现代化的创新举措和宝贵经验讲清说透，令人深受启发。</w:t>
            </w:r>
          </w:p>
          <w:p>
            <w:pPr>
              <w:widowControl w:val="0"/>
              <w:spacing w:line="240" w:lineRule="auto"/>
              <w:ind w:firstLine="480"/>
              <w:rPr>
                <w:rFonts w:ascii="仿宋_GB2312" w:hAnsi="华文中宋" w:eastAsia="仿宋_GB2312"/>
                <w:color w:val="000000"/>
                <w:sz w:val="24"/>
                <w:szCs w:val="18"/>
              </w:rPr>
            </w:pPr>
            <w:r>
              <w:rPr>
                <w:rFonts w:hint="eastAsia" w:ascii="仿宋_GB2312" w:hAnsi="华文中宋" w:eastAsia="仿宋_GB2312"/>
                <w:color w:val="000000"/>
                <w:sz w:val="24"/>
                <w:szCs w:val="18"/>
              </w:rPr>
              <w:t>三、采写扎实、文辞优美。本文虽是一篇聚焦三农产业的财经类报道，但文章采写生动、文笔精到，饱含深情、铿锵有力，文辞优美、一气呵成，兼具传统通讯报道的磅礴厚实和新媒体表达的灵巧生动，具有较强的思辨力和情绪感染力，是一篇兼具理论高度、实践深度和情感温度的典型报道。</w:t>
            </w:r>
          </w:p>
          <w:p>
            <w:pPr>
              <w:widowControl w:val="0"/>
              <w:spacing w:line="240" w:lineRule="auto"/>
              <w:ind w:firstLine="480"/>
              <w:rPr>
                <w:rFonts w:ascii="仿宋_GB2312" w:hAnsi="华文中宋" w:eastAsia="仿宋_GB2312"/>
                <w:color w:val="000000"/>
                <w:sz w:val="24"/>
                <w:szCs w:val="18"/>
              </w:rPr>
            </w:pPr>
          </w:p>
          <w:p>
            <w:pPr>
              <w:widowControl w:val="0"/>
              <w:spacing w:line="240" w:lineRule="auto"/>
              <w:ind w:firstLine="480"/>
              <w:rPr>
                <w:rFonts w:ascii="仿宋_GB2312" w:hAnsi="华文中宋" w:eastAsia="仿宋_GB2312"/>
                <w:color w:val="000000"/>
                <w:sz w:val="24"/>
                <w:szCs w:val="18"/>
              </w:rPr>
            </w:pPr>
          </w:p>
          <w:p>
            <w:pPr>
              <w:widowControl w:val="0"/>
              <w:spacing w:line="360" w:lineRule="exact"/>
              <w:ind w:firstLine="3864" w:firstLineChars="1400"/>
              <w:rPr>
                <w:rFonts w:ascii="华文中宋" w:hAnsi="华文中宋" w:eastAsia="华文中宋"/>
                <w:color w:val="000000"/>
                <w:spacing w:val="-2"/>
                <w:sz w:val="28"/>
              </w:rPr>
            </w:pPr>
            <w:r>
              <w:rPr>
                <w:rFonts w:hint="eastAsia" w:ascii="华文中宋" w:hAnsi="华文中宋" w:eastAsia="华文中宋"/>
                <w:color w:val="000000"/>
                <w:spacing w:val="-2"/>
                <w:sz w:val="28"/>
              </w:rPr>
              <w:t>签名：</w:t>
            </w:r>
          </w:p>
          <w:p>
            <w:pPr>
              <w:widowControl w:val="0"/>
              <w:spacing w:line="360" w:lineRule="exact"/>
              <w:ind w:firstLine="5460" w:firstLineChars="1950"/>
              <w:rPr>
                <w:rFonts w:ascii="华文中宋" w:hAnsi="华文中宋" w:eastAsia="华文中宋"/>
                <w:color w:val="000000"/>
                <w:sz w:val="28"/>
              </w:rPr>
            </w:pPr>
            <w:r>
              <w:rPr>
                <w:rFonts w:hint="eastAsia" w:ascii="华文中宋" w:hAnsi="华文中宋" w:eastAsia="华文中宋"/>
                <w:color w:val="000000"/>
                <w:sz w:val="28"/>
              </w:rPr>
              <w:t>（盖单位公章）</w:t>
            </w:r>
          </w:p>
          <w:p>
            <w:pPr>
              <w:widowControl w:val="0"/>
              <w:spacing w:line="240" w:lineRule="auto"/>
              <w:ind w:firstLine="0" w:firstLineChars="0"/>
              <w:rPr>
                <w:rFonts w:ascii="仿宋" w:hAnsi="仿宋" w:eastAsia="仿宋"/>
                <w:color w:val="000000"/>
                <w:szCs w:val="21"/>
              </w:rPr>
            </w:pPr>
            <w:r>
              <w:rPr>
                <w:rFonts w:hint="eastAsia" w:ascii="仿宋_GB2312" w:eastAsia="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22</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47" w:type="dxa"/>
            <w:gridSpan w:val="7"/>
            <w:tcBorders>
              <w:left w:val="nil"/>
              <w:bottom w:val="nil"/>
              <w:right w:val="nil"/>
            </w:tcBorders>
          </w:tcPr>
          <w:p>
            <w:pPr>
              <w:widowControl w:val="0"/>
              <w:ind w:firstLine="560"/>
              <w:rPr>
                <w:rFonts w:ascii="楷体" w:hAnsi="楷体" w:eastAsia="楷体"/>
                <w:color w:val="000000"/>
                <w:sz w:val="28"/>
              </w:rPr>
            </w:pPr>
          </w:p>
        </w:tc>
      </w:tr>
    </w:tbl>
    <w:p>
      <w:pPr>
        <w:widowControl w:val="0"/>
        <w:spacing w:line="300" w:lineRule="exact"/>
        <w:ind w:firstLine="480"/>
        <w:rPr>
          <w:rFonts w:ascii="仿宋_GB2312" w:hAnsi="华文中宋" w:eastAsia="仿宋_GB2312"/>
          <w:color w:val="000000"/>
          <w:sz w:val="24"/>
          <w:szCs w:val="18"/>
        </w:rPr>
      </w:pPr>
    </w:p>
    <w:p>
      <w:pPr>
        <w:widowControl w:val="0"/>
        <w:spacing w:line="300" w:lineRule="exact"/>
        <w:ind w:firstLine="480"/>
        <w:rPr>
          <w:rFonts w:ascii="仿宋_GB2312" w:hAnsi="华文中宋" w:eastAsia="仿宋_GB2312"/>
          <w:color w:val="000000"/>
          <w:sz w:val="24"/>
          <w:szCs w:val="1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RjNzUyNzk3NzJlZTE2MTM5ODgzNDRjZjRmMjRkNzEifQ=="/>
  </w:docVars>
  <w:rsids>
    <w:rsidRoot w:val="00DC5606"/>
    <w:rsid w:val="00094E30"/>
    <w:rsid w:val="001E68A0"/>
    <w:rsid w:val="00371644"/>
    <w:rsid w:val="003F75C9"/>
    <w:rsid w:val="0065730B"/>
    <w:rsid w:val="00736209"/>
    <w:rsid w:val="00A21B52"/>
    <w:rsid w:val="00A6160B"/>
    <w:rsid w:val="00AE3305"/>
    <w:rsid w:val="00B82059"/>
    <w:rsid w:val="00C4758F"/>
    <w:rsid w:val="00CC5B5A"/>
    <w:rsid w:val="00CF152C"/>
    <w:rsid w:val="00DC5606"/>
    <w:rsid w:val="07F165A1"/>
    <w:rsid w:val="116E63B2"/>
    <w:rsid w:val="13FB1F84"/>
    <w:rsid w:val="166B30AB"/>
    <w:rsid w:val="1FE057F5"/>
    <w:rsid w:val="2215621B"/>
    <w:rsid w:val="2B92033C"/>
    <w:rsid w:val="366C1E63"/>
    <w:rsid w:val="3AA7045E"/>
    <w:rsid w:val="3FF246A7"/>
    <w:rsid w:val="54B941E1"/>
    <w:rsid w:val="556E0EBA"/>
    <w:rsid w:val="5F7819DA"/>
    <w:rsid w:val="66905EDA"/>
    <w:rsid w:val="6F034D4D"/>
    <w:rsid w:val="763135CC"/>
    <w:rsid w:val="77B064D0"/>
    <w:rsid w:val="7D95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0"/>
    <w:pPr>
      <w:spacing w:beforeAutospacing="1" w:afterAutospacing="1"/>
    </w:pPr>
    <w:rPr>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1332</Words>
  <Characters>1339</Characters>
  <Lines>11</Lines>
  <Paragraphs>3</Paragraphs>
  <TotalTime>124</TotalTime>
  <ScaleCrop>false</ScaleCrop>
  <LinksUpToDate>false</LinksUpToDate>
  <CharactersWithSpaces>1399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2022-06-01T08:07:00Z</dcterms:created>
  <dc:creator>86185</dc:creator>
  <cp:lastModifiedBy>文档存本地丢失不负责</cp:lastModifiedBy>
  <cp:lastPrinted>2022-06-01T06:17:00Z</cp:lastPrinted>
  <dcterms:modified xsi:type="dcterms:W3CDTF">2022-06-10T08:46:19Z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BAE14B4CFB7145B6B8F4140F9EBC0A4F</vt:lpwstr>
  </property>
</Properties>
</file>