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附件3</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6"/>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88"/>
        <w:gridCol w:w="1683"/>
        <w:gridCol w:w="389"/>
        <w:gridCol w:w="1295"/>
        <w:gridCol w:w="174"/>
        <w:gridCol w:w="1752"/>
        <w:gridCol w:w="13"/>
        <w:gridCol w:w="168"/>
        <w:gridCol w:w="424"/>
        <w:gridCol w:w="285"/>
        <w:gridCol w:w="553"/>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629" w:type="dxa"/>
            <w:gridSpan w:val="5"/>
            <w:vAlign w:val="center"/>
          </w:tcPr>
          <w:p>
            <w:pPr>
              <w:spacing w:line="320" w:lineRule="exact"/>
              <w:jc w:val="left"/>
              <w:rPr>
                <w:rFonts w:ascii="仿宋" w:hAnsi="仿宋" w:eastAsia="仿宋"/>
                <w:sz w:val="24"/>
              </w:rPr>
            </w:pPr>
            <w:r>
              <w:rPr>
                <w:rFonts w:hint="eastAsia" w:ascii="仿宋" w:hAnsi="仿宋" w:eastAsia="仿宋"/>
                <w:sz w:val="24"/>
                <w:lang w:val="en-US" w:eastAsia="zh-CN"/>
              </w:rPr>
              <w:t>《学而时习》</w:t>
            </w:r>
          </w:p>
        </w:tc>
        <w:tc>
          <w:tcPr>
            <w:tcW w:w="1752"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936" w:type="dxa"/>
            <w:gridSpan w:val="6"/>
            <w:vAlign w:val="center"/>
          </w:tcPr>
          <w:p>
            <w:pPr>
              <w:spacing w:line="320" w:lineRule="exact"/>
              <w:jc w:val="left"/>
              <w:rPr>
                <w:rFonts w:ascii="仿宋" w:hAnsi="仿宋" w:eastAsia="仿宋"/>
                <w:sz w:val="24"/>
              </w:rPr>
            </w:pPr>
            <w:r>
              <w:rPr>
                <w:rFonts w:hint="eastAsia" w:ascii="仿宋" w:hAnsi="仿宋" w:eastAsia="仿宋"/>
                <w:sz w:val="24"/>
                <w:lang w:val="en-US" w:eastAsia="zh-CN"/>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3629" w:type="dxa"/>
            <w:gridSpan w:val="5"/>
            <w:vAlign w:val="center"/>
          </w:tcPr>
          <w:p>
            <w:pPr>
              <w:spacing w:line="320" w:lineRule="exact"/>
              <w:rPr>
                <w:rFonts w:ascii="仿宋_GB2312" w:hAnsi="华文仿宋" w:eastAsia="仿宋"/>
                <w:sz w:val="28"/>
                <w:szCs w:val="28"/>
              </w:rPr>
            </w:pPr>
            <w:r>
              <w:rPr>
                <w:rFonts w:hint="eastAsia" w:ascii="仿宋" w:hAnsi="仿宋" w:eastAsia="仿宋"/>
                <w:sz w:val="24"/>
                <w:lang w:val="en-US" w:eastAsia="zh-CN"/>
              </w:rPr>
              <w:t>2021年4月16日</w:t>
            </w:r>
          </w:p>
        </w:tc>
        <w:tc>
          <w:tcPr>
            <w:tcW w:w="1752" w:type="dxa"/>
            <w:vAlign w:val="center"/>
          </w:tcPr>
          <w:p>
            <w:pPr>
              <w:spacing w:line="320" w:lineRule="exact"/>
              <w:rPr>
                <w:rFonts w:ascii="仿宋_GB2312" w:hAnsi="华文仿宋" w:eastAsia="仿宋"/>
                <w:sz w:val="28"/>
                <w:szCs w:val="28"/>
              </w:rPr>
            </w:pPr>
            <w:r>
              <w:rPr>
                <w:rFonts w:hint="eastAsia" w:ascii="仿宋_GB2312" w:hAnsi="华文仿宋" w:eastAsia="仿宋"/>
                <w:sz w:val="28"/>
                <w:szCs w:val="28"/>
              </w:rPr>
              <w:t>字数/时长</w:t>
            </w:r>
          </w:p>
        </w:tc>
        <w:tc>
          <w:tcPr>
            <w:tcW w:w="2936" w:type="dxa"/>
            <w:gridSpan w:val="6"/>
            <w:vAlign w:val="center"/>
          </w:tcPr>
          <w:p>
            <w:pPr>
              <w:spacing w:line="320" w:lineRule="exact"/>
              <w:rPr>
                <w:rFonts w:hint="default" w:ascii="仿宋_GB2312" w:hAnsi="华文仿宋" w:eastAsia="仿宋"/>
                <w:sz w:val="28"/>
                <w:szCs w:val="28"/>
                <w:lang w:val="en-US" w:eastAsia="zh-CN"/>
              </w:rPr>
            </w:pPr>
            <w:r>
              <w:rPr>
                <w:rFonts w:hint="eastAsia" w:ascii="仿宋" w:hAnsi="仿宋" w:eastAsia="仿宋"/>
                <w:sz w:val="24"/>
                <w:lang w:val="en-US" w:eastAsia="zh-CN"/>
              </w:rPr>
              <w:t>573字/2分28秒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629" w:type="dxa"/>
            <w:gridSpan w:val="5"/>
            <w:vAlign w:val="center"/>
          </w:tcPr>
          <w:p>
            <w:pPr>
              <w:spacing w:line="320" w:lineRule="exact"/>
              <w:jc w:val="left"/>
              <w:rPr>
                <w:rFonts w:hint="eastAsia" w:ascii="仿宋" w:hAnsi="仿宋" w:eastAsia="仿宋"/>
                <w:sz w:val="24"/>
                <w:lang w:eastAsia="zh-CN"/>
              </w:rPr>
            </w:pPr>
            <w:r>
              <w:rPr>
                <w:rFonts w:hint="eastAsia" w:ascii="仿宋" w:hAnsi="仿宋" w:eastAsia="仿宋"/>
                <w:sz w:val="24"/>
                <w:lang w:val="en-US" w:eastAsia="zh-CN"/>
              </w:rPr>
              <w:t>农民日报社</w:t>
            </w:r>
          </w:p>
        </w:tc>
        <w:tc>
          <w:tcPr>
            <w:tcW w:w="1752"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3年度发布总次数</w:t>
            </w:r>
          </w:p>
        </w:tc>
        <w:tc>
          <w:tcPr>
            <w:tcW w:w="2936" w:type="dxa"/>
            <w:gridSpan w:val="6"/>
            <w:vAlign w:val="center"/>
          </w:tcPr>
          <w:p>
            <w:pPr>
              <w:spacing w:line="440" w:lineRule="exact"/>
              <w:jc w:val="left"/>
              <w:rPr>
                <w:rFonts w:ascii="仿宋" w:hAnsi="仿宋" w:eastAsia="仿宋"/>
                <w:sz w:val="24"/>
              </w:rPr>
            </w:pPr>
            <w:r>
              <w:rPr>
                <w:rFonts w:hint="eastAsia" w:ascii="仿宋" w:hAnsi="仿宋" w:eastAsia="仿宋"/>
                <w:sz w:val="24"/>
                <w:lang w:val="en-US" w:eastAsia="zh-CN"/>
              </w:rPr>
              <w:t>362次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1838"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8317" w:type="dxa"/>
            <w:gridSpan w:val="12"/>
            <w:vAlign w:val="center"/>
          </w:tcPr>
          <w:p>
            <w:pPr>
              <w:spacing w:line="320" w:lineRule="exact"/>
              <w:jc w:val="left"/>
              <w:rPr>
                <w:rFonts w:ascii="仿宋" w:hAnsi="仿宋" w:eastAsia="仿宋"/>
                <w:sz w:val="24"/>
              </w:rPr>
            </w:pPr>
            <w:r>
              <w:rPr>
                <w:rFonts w:hint="eastAsia" w:ascii="仿宋" w:hAnsi="仿宋" w:eastAsia="仿宋"/>
                <w:sz w:val="24"/>
                <w:lang w:val="en-US" w:eastAsia="zh-CN"/>
              </w:rPr>
              <w:t>农民日报微信公众号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exact"/>
          <w:jc w:val="center"/>
        </w:trPr>
        <w:tc>
          <w:tcPr>
            <w:tcW w:w="1838"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3629" w:type="dxa"/>
            <w:gridSpan w:val="5"/>
            <w:vAlign w:val="center"/>
          </w:tcPr>
          <w:p>
            <w:pPr>
              <w:spacing w:line="360" w:lineRule="exact"/>
              <w:jc w:val="left"/>
              <w:rPr>
                <w:rFonts w:ascii="仿宋" w:hAnsi="仿宋" w:eastAsia="仿宋"/>
                <w:sz w:val="24"/>
              </w:rPr>
            </w:pPr>
            <w:r>
              <w:rPr>
                <w:rFonts w:hint="eastAsia" w:ascii="仿宋" w:hAnsi="仿宋" w:eastAsia="仿宋"/>
                <w:sz w:val="24"/>
              </w:rPr>
              <w:t>李朝民 王岩 高雅 李芸聪 杜娟 范英娜</w:t>
            </w:r>
          </w:p>
        </w:tc>
        <w:tc>
          <w:tcPr>
            <w:tcW w:w="1765" w:type="dxa"/>
            <w:gridSpan w:val="2"/>
            <w:vAlign w:val="center"/>
          </w:tcPr>
          <w:p>
            <w:pPr>
              <w:spacing w:line="360" w:lineRule="exact"/>
              <w:jc w:val="center"/>
              <w:rPr>
                <w:rFonts w:ascii="仿宋" w:hAnsi="仿宋" w:eastAsia="仿宋"/>
                <w:sz w:val="24"/>
              </w:rPr>
            </w:pPr>
            <w:r>
              <w:rPr>
                <w:rFonts w:hint="eastAsia" w:ascii="华文中宋" w:hAnsi="华文中宋" w:eastAsia="华文中宋"/>
                <w:sz w:val="24"/>
              </w:rPr>
              <w:t>编辑</w:t>
            </w:r>
          </w:p>
        </w:tc>
        <w:tc>
          <w:tcPr>
            <w:tcW w:w="2923" w:type="dxa"/>
            <w:gridSpan w:val="5"/>
            <w:vAlign w:val="center"/>
          </w:tcPr>
          <w:p>
            <w:pPr>
              <w:spacing w:line="360" w:lineRule="exact"/>
              <w:jc w:val="left"/>
              <w:rPr>
                <w:rFonts w:ascii="仿宋" w:hAnsi="仿宋" w:eastAsia="仿宋"/>
                <w:sz w:val="24"/>
              </w:rPr>
            </w:pPr>
            <w:r>
              <w:rPr>
                <w:rFonts w:hint="eastAsia" w:ascii="仿宋" w:hAnsi="仿宋" w:eastAsia="仿宋"/>
                <w:sz w:val="24"/>
                <w:lang w:val="en-US" w:eastAsia="zh-CN"/>
              </w:rPr>
              <w:t>李芸聪 杜娟 范英娜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838"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317" w:type="dxa"/>
            <w:gridSpan w:val="12"/>
            <w:vAlign w:val="center"/>
          </w:tcPr>
          <w:p>
            <w:pPr>
              <w:jc w:val="left"/>
              <w:rPr>
                <w:rFonts w:ascii="仿宋_GB2312" w:hAnsi="华文仿宋" w:eastAsia="仿宋"/>
              </w:rPr>
            </w:pPr>
            <w:r>
              <w:rPr>
                <w:rFonts w:hint="eastAsia" w:ascii="仿宋_GB2312" w:hAnsi="华文仿宋" w:eastAsia="仿宋"/>
              </w:rPr>
              <w:t>https://mp.weixin.qq.com/mp/appmsgalbum?__biz=MjM5NTEyNDc0NQ==&amp;action=getalbum&amp;album_id=3299056505161269256&amp;scene=126#wechat_redirect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8317" w:type="dxa"/>
            <w:gridSpan w:val="12"/>
          </w:tcPr>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hint="eastAsia"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党的十八大以来，习近平总书记坚持用大历史观来看待农业农村农民问题，站在统筹中华民族伟大复兴战略全局和世界百年未有之大变局的高度，就做好“三农”工作发表一系列重要论述，科学回答了农村改革发展的一系列重大理论和实践问题，指引农业农村发展取得历史性成就、发生历史性变革</w:t>
            </w:r>
            <w:r>
              <w:rPr>
                <w:rFonts w:hint="eastAsia" w:cs="仿宋"/>
                <w:snapToGrid w:val="0"/>
                <w:color w:val="000000"/>
                <w:spacing w:val="-3"/>
                <w:kern w:val="0"/>
                <w:sz w:val="24"/>
                <w:szCs w:val="24"/>
                <w:lang w:val="en-US" w:eastAsia="zh-CN" w:bidi="ar-SA"/>
              </w:rPr>
              <w:t>。</w:t>
            </w:r>
          </w:p>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为深入学习、理解、掌握习近平同志关于“三农”工作的重要论述，农民日报制作并推出融媒体专栏《学而时习》。专栏坚持从讲政治的高度进行运维，紧紧围绕习近平总书记关于“三农”工作的重要论述、著作，如《习近平关于“三农”工作论述摘编》《之江新语》《论“三农”工作》等，梳理总结重要文章，采用“音频+图片”形式发布，图文、音频并茂，突出轻量化、互动性，整体短小精炼、新颖活泼，每天早晨6：30准时推出，带领受众重温总书记的殷殷嘱托，</w:t>
            </w:r>
            <w:r>
              <w:rPr>
                <w:rFonts w:hint="eastAsia"/>
                <w:spacing w:val="-3"/>
                <w:sz w:val="24"/>
                <w:szCs w:val="24"/>
                <w:lang w:val="en-US" w:eastAsia="zh-CN"/>
              </w:rPr>
              <w:t>感悟习近平总书记“知之深、爱之切”的“三农”情怀</w:t>
            </w:r>
            <w:r>
              <w:rPr>
                <w:rFonts w:hint="eastAsia" w:ascii="仿宋" w:hAnsi="仿宋" w:eastAsia="仿宋" w:cs="仿宋"/>
                <w:snapToGrid w:val="0"/>
                <w:color w:val="000000"/>
                <w:spacing w:val="-3"/>
                <w:kern w:val="0"/>
                <w:sz w:val="24"/>
                <w:szCs w:val="24"/>
                <w:lang w:val="en-US" w:eastAsia="zh-CN" w:bidi="ar-SA"/>
              </w:rPr>
              <w:t>。</w:t>
            </w:r>
          </w:p>
          <w:p>
            <w:pPr>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8317" w:type="dxa"/>
            <w:gridSpan w:val="12"/>
            <w:tcBorders>
              <w:top w:val="single" w:color="auto" w:sz="4" w:space="0"/>
              <w:left w:val="single" w:color="auto" w:sz="4" w:space="0"/>
              <w:bottom w:val="single" w:color="auto" w:sz="4" w:space="0"/>
              <w:right w:val="single" w:color="auto" w:sz="4" w:space="0"/>
            </w:tcBorders>
          </w:tcPr>
          <w:p>
            <w:pPr>
              <w:pStyle w:val="10"/>
              <w:keepNext w:val="0"/>
              <w:keepLines w:val="0"/>
              <w:pageBreakBefore w:val="0"/>
              <w:widowControl/>
              <w:kinsoku w:val="0"/>
              <w:wordWrap/>
              <w:overflowPunct/>
              <w:topLinePunct w:val="0"/>
              <w:autoSpaceDE w:val="0"/>
              <w:autoSpaceDN w:val="0"/>
              <w:bidi w:val="0"/>
              <w:adjustRightInd w:val="0"/>
              <w:snapToGrid w:val="0"/>
              <w:spacing w:before="55" w:line="245" w:lineRule="auto"/>
              <w:ind w:left="119" w:right="108" w:firstLine="468" w:firstLineChars="200"/>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2023年全年，《学而时习》栏目点击量28.84万，受众积极参与互动，转评赞数量超3000，产生较好的社会反响，有力有效宣传阐释了习近平总书记关于“三农”工作的重要论述，受到广泛好评，为广大三农工作者将理论学习成果转化为推动“三农”发展的强大思想武器和精神力量提供了根本遵循，传播力影响力得到有效提升。</w:t>
            </w:r>
          </w:p>
          <w:p>
            <w:pPr>
              <w:jc w:val="left"/>
              <w:rPr>
                <w:rFonts w:ascii="仿宋" w:hAnsi="仿宋" w:eastAsia="仿宋"/>
                <w:b/>
                <w:color w:val="8080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8317" w:type="dxa"/>
            <w:gridSpan w:val="12"/>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eastAsia" w:ascii="仿宋" w:hAnsi="仿宋" w:eastAsia="仿宋" w:cs="仿宋"/>
                <w:b w:val="0"/>
                <w:bCs w:val="0"/>
                <w:snapToGrid w:val="0"/>
                <w:color w:val="000000"/>
                <w:spacing w:val="-3"/>
                <w:kern w:val="0"/>
                <w:sz w:val="24"/>
                <w:szCs w:val="24"/>
                <w:lang w:val="en-US" w:eastAsia="zh-CN" w:bidi="ar-SA"/>
              </w:rPr>
            </w:pPr>
            <w:r>
              <w:rPr>
                <w:rFonts w:hint="eastAsia" w:ascii="仿宋" w:hAnsi="仿宋" w:eastAsia="仿宋" w:cs="仿宋"/>
                <w:b/>
                <w:bCs/>
                <w:snapToGrid w:val="0"/>
                <w:color w:val="000000"/>
                <w:spacing w:val="-3"/>
                <w:kern w:val="0"/>
                <w:sz w:val="24"/>
                <w:szCs w:val="24"/>
                <w:lang w:val="en-US" w:eastAsia="zh-CN" w:bidi="ar-SA"/>
              </w:rPr>
              <w:t>选题重大，主题鲜明。</w:t>
            </w:r>
            <w:r>
              <w:rPr>
                <w:rFonts w:hint="eastAsia" w:ascii="仿宋" w:hAnsi="仿宋" w:eastAsia="仿宋" w:cs="仿宋"/>
                <w:b w:val="0"/>
                <w:bCs w:val="0"/>
                <w:snapToGrid w:val="0"/>
                <w:color w:val="000000"/>
                <w:spacing w:val="-3"/>
                <w:kern w:val="0"/>
                <w:sz w:val="24"/>
                <w:szCs w:val="24"/>
                <w:lang w:val="en-US" w:eastAsia="zh-CN" w:bidi="ar-SA"/>
              </w:rPr>
              <w:t>专栏作品围绕总书记关于“三农”工作的重要论述展开，涵盖乡村振兴战略、新型城镇化、国家粮食安全、农村贫困人口脱贫、创新乡村治理等方面，有较强的系统性。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eastAsia" w:ascii="仿宋" w:hAnsi="仿宋" w:eastAsia="仿宋" w:cs="仿宋"/>
                <w:b w:val="0"/>
                <w:bCs w:val="0"/>
                <w:snapToGrid w:val="0"/>
                <w:color w:val="000000"/>
                <w:spacing w:val="-3"/>
                <w:kern w:val="0"/>
                <w:sz w:val="24"/>
                <w:szCs w:val="24"/>
                <w:lang w:val="en-US" w:eastAsia="zh-CN" w:bidi="ar-SA"/>
              </w:rPr>
            </w:pPr>
            <w:r>
              <w:rPr>
                <w:rFonts w:hint="default" w:ascii="仿宋" w:hAnsi="仿宋" w:eastAsia="仿宋" w:cs="仿宋"/>
                <w:b/>
                <w:bCs/>
                <w:snapToGrid w:val="0"/>
                <w:color w:val="000000"/>
                <w:spacing w:val="-3"/>
                <w:kern w:val="0"/>
                <w:sz w:val="24"/>
                <w:szCs w:val="24"/>
                <w:lang w:val="en-US" w:eastAsia="zh-CN" w:bidi="ar-SA"/>
              </w:rPr>
              <w:t>循序渐进，细水长流。</w:t>
            </w:r>
            <w:r>
              <w:rPr>
                <w:rFonts w:hint="eastAsia" w:ascii="仿宋" w:hAnsi="仿宋" w:eastAsia="仿宋" w:cs="仿宋"/>
                <w:b w:val="0"/>
                <w:bCs w:val="0"/>
                <w:snapToGrid w:val="0"/>
                <w:color w:val="000000"/>
                <w:spacing w:val="-3"/>
                <w:kern w:val="0"/>
                <w:sz w:val="24"/>
                <w:szCs w:val="24"/>
                <w:lang w:val="en-US" w:eastAsia="zh-CN" w:bidi="ar-SA"/>
              </w:rPr>
              <w:t>专栏作品全年不间断发布，每天清晨6点30分准时与受众见面，一日一篇，系统全面，对广大“三农”工作者学深悟透习近平关于“三农”工作的重要论述、推进乡村全面振兴不断取得实质性进展阶段性成果具有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105" w:afterAutospacing="0" w:line="10" w:lineRule="atLeast"/>
              <w:ind w:left="0" w:right="0" w:firstLine="470" w:firstLineChars="200"/>
              <w:textAlignment w:val="baseline"/>
              <w:rPr>
                <w:rFonts w:hint="default" w:ascii="仿宋" w:hAnsi="仿宋" w:eastAsia="仿宋" w:cs="仿宋"/>
                <w:b w:val="0"/>
                <w:bCs w:val="0"/>
                <w:snapToGrid w:val="0"/>
                <w:color w:val="000000"/>
                <w:spacing w:val="-3"/>
                <w:kern w:val="0"/>
                <w:sz w:val="24"/>
                <w:szCs w:val="24"/>
                <w:lang w:val="en-US" w:eastAsia="zh-CN" w:bidi="ar-SA"/>
              </w:rPr>
            </w:pPr>
            <w:r>
              <w:rPr>
                <w:rFonts w:hint="default" w:ascii="仿宋" w:hAnsi="仿宋" w:eastAsia="仿宋" w:cs="仿宋"/>
                <w:b/>
                <w:bCs/>
                <w:snapToGrid w:val="0"/>
                <w:color w:val="000000"/>
                <w:spacing w:val="-3"/>
                <w:kern w:val="0"/>
                <w:sz w:val="24"/>
                <w:szCs w:val="24"/>
                <w:lang w:val="en-US" w:eastAsia="zh-CN" w:bidi="ar-SA"/>
              </w:rPr>
              <w:t>形态丰富，融媒传播。</w:t>
            </w:r>
            <w:r>
              <w:rPr>
                <w:rFonts w:hint="eastAsia" w:ascii="仿宋" w:hAnsi="仿宋" w:eastAsia="仿宋" w:cs="仿宋"/>
                <w:b w:val="0"/>
                <w:bCs w:val="0"/>
                <w:snapToGrid w:val="0"/>
                <w:color w:val="000000"/>
                <w:spacing w:val="-3"/>
                <w:kern w:val="0"/>
                <w:sz w:val="24"/>
                <w:szCs w:val="24"/>
                <w:lang w:val="en-US" w:eastAsia="zh-CN" w:bidi="ar-SA"/>
              </w:rPr>
              <w:t>专栏作品</w:t>
            </w:r>
            <w:r>
              <w:rPr>
                <w:rFonts w:hint="default" w:ascii="仿宋" w:hAnsi="仿宋" w:eastAsia="仿宋" w:cs="仿宋"/>
                <w:b w:val="0"/>
                <w:bCs w:val="0"/>
                <w:snapToGrid w:val="0"/>
                <w:color w:val="000000"/>
                <w:spacing w:val="-3"/>
                <w:kern w:val="0"/>
                <w:sz w:val="24"/>
                <w:szCs w:val="24"/>
                <w:lang w:val="en-US" w:eastAsia="zh-CN" w:bidi="ar-SA"/>
              </w:rPr>
              <w:t>采用“音频+图片”形式发布，突出轻量化、互动性，整体短小精炼、新颖活泼</w:t>
            </w:r>
            <w:r>
              <w:rPr>
                <w:rFonts w:hint="eastAsia" w:ascii="仿宋" w:hAnsi="仿宋" w:eastAsia="仿宋" w:cs="仿宋"/>
                <w:b w:val="0"/>
                <w:bCs w:val="0"/>
                <w:snapToGrid w:val="0"/>
                <w:color w:val="000000"/>
                <w:spacing w:val="-3"/>
                <w:kern w:val="0"/>
                <w:sz w:val="24"/>
                <w:szCs w:val="24"/>
                <w:lang w:val="en-US" w:eastAsia="zh-CN" w:bidi="ar-SA"/>
              </w:rPr>
              <w:t>。主播的诵读为受众带来沉浸式学习体验，增强了作品的感染力和传播力，让总书记的嘱托声声入耳。</w:t>
            </w:r>
          </w:p>
          <w:p>
            <w:pPr>
              <w:spacing w:line="380" w:lineRule="exact"/>
              <w:ind w:firstLine="560" w:firstLineChars="200"/>
              <w:rPr>
                <w:rFonts w:ascii="华文中宋" w:hAnsi="华文中宋" w:eastAsia="华文中宋"/>
                <w:sz w:val="28"/>
                <w:szCs w:val="28"/>
              </w:rPr>
            </w:pP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华文中宋" w:hAnsi="华文中宋" w:eastAsia="华文中宋"/>
                <w:sz w:val="24"/>
                <w:lang w:val="en-US" w:eastAsia="zh-CN"/>
              </w:rPr>
              <w:t xml:space="preserve">                         </w:t>
            </w:r>
            <w:r>
              <w:rPr>
                <w:rFonts w:hint="eastAsia" w:ascii="华文中宋" w:hAnsi="华文中宋" w:eastAsia="华文中宋"/>
                <w:sz w:val="24"/>
              </w:rPr>
              <w:t xml:space="preserve">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hint="eastAsia" w:ascii="华文中宋" w:hAnsi="华文中宋" w:eastAsia="华文中宋"/>
                <w:sz w:val="24"/>
                <w:lang w:val="en-US" w:eastAsia="zh-CN"/>
              </w:rPr>
              <w:t xml:space="preserve">                                 </w:t>
            </w:r>
            <w:r>
              <w:rPr>
                <w:rFonts w:hint="eastAsia" w:ascii="华文中宋" w:hAnsi="华文中宋" w:eastAsia="华文中宋"/>
                <w:sz w:val="24"/>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2160" w:type="dxa"/>
            <w:gridSpan w:val="3"/>
            <w:vAlign w:val="center"/>
          </w:tcPr>
          <w:p>
            <w:pPr>
              <w:ind w:firstLine="480" w:firstLineChars="200"/>
              <w:rPr>
                <w:rFonts w:hint="eastAsia" w:ascii="仿宋" w:hAnsi="仿宋" w:eastAsia="仿宋"/>
                <w:sz w:val="24"/>
                <w:lang w:val="en-US" w:eastAsia="zh-CN"/>
              </w:rPr>
            </w:pPr>
            <w:r>
              <w:rPr>
                <w:rFonts w:hint="eastAsia" w:ascii="仿宋" w:hAnsi="仿宋" w:eastAsia="仿宋"/>
                <w:sz w:val="24"/>
                <w:lang w:val="en-US" w:eastAsia="zh-CN"/>
              </w:rPr>
              <w:t>刘音</w:t>
            </w:r>
          </w:p>
        </w:tc>
        <w:tc>
          <w:tcPr>
            <w:tcW w:w="146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1933" w:type="dxa"/>
            <w:gridSpan w:val="3"/>
            <w:vAlign w:val="center"/>
          </w:tcPr>
          <w:p>
            <w:pPr>
              <w:spacing w:line="440" w:lineRule="exact"/>
              <w:rPr>
                <w:rFonts w:ascii="仿宋" w:hAnsi="仿宋" w:eastAsia="仿宋"/>
                <w:sz w:val="24"/>
              </w:rPr>
            </w:pPr>
            <w:r>
              <w:rPr>
                <w:rFonts w:hint="eastAsia" w:ascii="仿宋" w:hAnsi="仿宋" w:eastAsia="仿宋"/>
                <w:sz w:val="24"/>
              </w:rPr>
              <w:t>nmrbxwxtb@163.com</w:t>
            </w: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6" w:type="dxa"/>
            <w:gridSpan w:val="2"/>
            <w:vAlign w:val="center"/>
          </w:tcPr>
          <w:p>
            <w:pPr>
              <w:spacing w:line="440" w:lineRule="exact"/>
              <w:rPr>
                <w:rFonts w:ascii="仿宋" w:hAnsi="仿宋" w:eastAsia="仿宋"/>
                <w:sz w:val="24"/>
              </w:rPr>
            </w:pPr>
            <w:r>
              <w:rPr>
                <w:rFonts w:hint="eastAsia" w:ascii="仿宋" w:hAnsi="仿宋" w:eastAsia="仿宋"/>
                <w:sz w:val="24"/>
              </w:rPr>
              <w:t>13001943701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562" w:type="dxa"/>
            <w:gridSpan w:val="8"/>
            <w:vAlign w:val="center"/>
          </w:tcPr>
          <w:p>
            <w:pPr>
              <w:spacing w:line="440" w:lineRule="exact"/>
              <w:rPr>
                <w:rFonts w:ascii="仿宋" w:hAnsi="仿宋" w:eastAsia="仿宋"/>
                <w:sz w:val="24"/>
              </w:rPr>
            </w:pPr>
            <w:r>
              <w:rPr>
                <w:rFonts w:hint="eastAsia" w:ascii="仿宋" w:hAnsi="仿宋" w:eastAsia="仿宋"/>
                <w:sz w:val="24"/>
              </w:rPr>
              <w:t>北京市朝阳区惠新西街15号农民日报社</w:t>
            </w: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6" w:type="dxa"/>
            <w:gridSpan w:val="2"/>
            <w:vAlign w:val="center"/>
          </w:tcPr>
          <w:p>
            <w:pPr>
              <w:spacing w:line="440" w:lineRule="exact"/>
              <w:rPr>
                <w:rFonts w:hint="default" w:ascii="仿宋" w:hAnsi="仿宋" w:eastAsia="仿宋"/>
                <w:sz w:val="24"/>
                <w:lang w:val="en-US" w:eastAsia="zh-CN"/>
              </w:rPr>
            </w:pPr>
            <w:r>
              <w:rPr>
                <w:rFonts w:hint="eastAsia" w:ascii="仿宋" w:hAnsi="仿宋" w:eastAsia="仿宋"/>
                <w:sz w:val="24"/>
                <w:lang w:val="en-US" w:eastAsia="zh-CN"/>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0155" w:type="dxa"/>
            <w:gridSpan w:val="13"/>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926"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8229" w:type="dxa"/>
            <w:gridSpan w:val="11"/>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szCs w:val="21"/>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926" w:type="dxa"/>
            <w:gridSpan w:val="2"/>
            <w:vAlign w:val="center"/>
          </w:tcPr>
          <w:p>
            <w:pPr>
              <w:spacing w:line="34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1926"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2" w:hRule="exact"/>
          <w:jc w:val="center"/>
        </w:trPr>
        <w:tc>
          <w:tcPr>
            <w:tcW w:w="1926" w:type="dxa"/>
            <w:gridSpan w:val="2"/>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sz w:val="24"/>
              </w:rPr>
              <w:t>联系人姓名</w:t>
            </w:r>
          </w:p>
        </w:tc>
        <w:tc>
          <w:tcPr>
            <w:tcW w:w="16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4"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手机</w:t>
            </w:r>
          </w:p>
        </w:tc>
        <w:tc>
          <w:tcPr>
            <w:tcW w:w="2531"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exact"/>
          <w:jc w:val="center"/>
        </w:trPr>
        <w:tc>
          <w:tcPr>
            <w:tcW w:w="1926"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8229" w:type="dxa"/>
            <w:gridSpan w:val="11"/>
            <w:tcBorders>
              <w:top w:val="single" w:color="auto" w:sz="4" w:space="0"/>
              <w:left w:val="single" w:color="auto" w:sz="4" w:space="0"/>
              <w:bottom w:val="single" w:color="auto" w:sz="4" w:space="0"/>
              <w:right w:val="single" w:color="auto" w:sz="4" w:space="0"/>
            </w:tcBorders>
          </w:tcPr>
          <w:p>
            <w:pPr>
              <w:rPr>
                <w:rFonts w:ascii="仿宋" w:hAnsi="仿宋" w:eastAsia="仿宋"/>
                <w:b/>
                <w:color w:val="000000"/>
                <w:szCs w:val="21"/>
              </w:rPr>
            </w:pPr>
          </w:p>
          <w:p>
            <w:pPr>
              <w:ind w:firstLine="316" w:firstLineChars="150"/>
              <w:rPr>
                <w:rFonts w:ascii="仿宋" w:hAnsi="仿宋" w:eastAsia="仿宋"/>
                <w:b/>
                <w:color w:val="000000"/>
                <w:szCs w:val="21"/>
              </w:rPr>
            </w:pPr>
            <w:r>
              <w:rPr>
                <w:rFonts w:hint="eastAsia" w:ascii="仿宋" w:hAnsi="仿宋" w:eastAsia="仿宋"/>
                <w:b/>
                <w:color w:val="000000"/>
                <w:szCs w:val="21"/>
              </w:rPr>
              <w:t xml:space="preserve">推荐人（两名）签名：                             自荐、他荐人签名：  </w:t>
            </w:r>
            <w:r>
              <w:rPr>
                <w:rFonts w:hint="eastAsia" w:ascii="仿宋" w:hAnsi="仿宋" w:eastAsia="仿宋"/>
                <w:color w:val="000000"/>
                <w:szCs w:val="21"/>
              </w:rPr>
              <w:t xml:space="preserve">  </w:t>
            </w:r>
          </w:p>
          <w:p>
            <w:pPr>
              <w:ind w:firstLine="4886" w:firstLineChars="2327"/>
              <w:rPr>
                <w:rFonts w:ascii="仿宋" w:hAnsi="仿宋" w:eastAsia="仿宋"/>
                <w:b/>
                <w:color w:val="000000"/>
                <w:szCs w:val="21"/>
              </w:rPr>
            </w:pPr>
            <w:r>
              <w:rPr>
                <w:rFonts w:hint="eastAsia" w:ascii="仿宋" w:hAnsi="仿宋" w:eastAsia="仿宋"/>
                <w:color w:val="000000"/>
                <w:szCs w:val="21"/>
              </w:rPr>
              <w:t>（单位自荐、他荐的，由单位</w:t>
            </w:r>
          </w:p>
          <w:p>
            <w:pPr>
              <w:ind w:firstLine="5040" w:firstLineChars="2400"/>
              <w:rPr>
                <w:rFonts w:ascii="仿宋" w:hAnsi="仿宋" w:eastAsia="仿宋"/>
                <w:color w:val="000000"/>
                <w:szCs w:val="21"/>
              </w:rPr>
            </w:pPr>
            <w:r>
              <w:rPr>
                <w:rFonts w:hint="eastAsia" w:ascii="仿宋" w:hAnsi="仿宋" w:eastAsia="仿宋"/>
                <w:color w:val="000000"/>
                <w:szCs w:val="21"/>
              </w:rPr>
              <w:t>负责人签名并加盖单位公章）</w:t>
            </w:r>
          </w:p>
          <w:p>
            <w:pPr>
              <w:ind w:firstLine="5040" w:firstLineChars="2400"/>
              <w:rPr>
                <w:rFonts w:ascii="仿宋" w:hAnsi="仿宋" w:eastAsia="仿宋"/>
                <w:color w:val="000000"/>
                <w:szCs w:val="21"/>
              </w:rPr>
            </w:pPr>
          </w:p>
          <w:p>
            <w:pPr>
              <w:spacing w:line="380" w:lineRule="exact"/>
              <w:jc w:val="center"/>
              <w:rPr>
                <w:rFonts w:ascii="仿宋_GB2312" w:eastAsia="仿宋_GB2312"/>
                <w:sz w:val="28"/>
              </w:rPr>
            </w:pP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r>
              <w:rPr>
                <w:rFonts w:hint="eastAsia" w:ascii="仿宋" w:hAnsi="仿宋" w:eastAsia="仿宋"/>
                <w:b/>
                <w:color w:val="000000"/>
                <w:szCs w:val="21"/>
              </w:rPr>
              <w:t xml:space="preserve"> </w:t>
            </w:r>
            <w:r>
              <w:rPr>
                <w:rFonts w:hint="eastAsia" w:ascii="仿宋" w:hAnsi="仿宋" w:eastAsia="仿宋"/>
                <w:color w:val="000000"/>
                <w:szCs w:val="21"/>
              </w:rPr>
              <w:t xml:space="preserve">                               </w:t>
            </w:r>
            <w:r>
              <w:rPr>
                <w:rFonts w:hint="eastAsia" w:ascii="仿宋" w:hAnsi="仿宋" w:eastAsia="仿宋"/>
                <w:b/>
                <w:color w:val="000000"/>
                <w:szCs w:val="21"/>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exact"/>
          <w:jc w:val="center"/>
        </w:trPr>
        <w:tc>
          <w:tcPr>
            <w:tcW w:w="1926"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8229" w:type="dxa"/>
            <w:gridSpan w:val="11"/>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自荐、他荐人所在的省级记协、中央新闻单位、中国行业报协会等负责对作品政治方向、舆论导向、业务水平及报送材料审核把关并盖章确认。</w:t>
            </w:r>
          </w:p>
          <w:p>
            <w:pPr>
              <w:ind w:firstLine="397"/>
              <w:rPr>
                <w:rFonts w:ascii="仿宋" w:hAnsi="仿宋" w:eastAsia="仿宋"/>
                <w:color w:val="000000"/>
                <w:szCs w:val="21"/>
              </w:rPr>
            </w:pPr>
          </w:p>
          <w:p>
            <w:pPr>
              <w:ind w:firstLine="420"/>
              <w:rPr>
                <w:rFonts w:ascii="仿宋" w:hAnsi="仿宋" w:eastAsia="仿宋"/>
                <w:color w:val="000000"/>
                <w:szCs w:val="21"/>
              </w:rPr>
            </w:pPr>
            <w:r>
              <w:rPr>
                <w:rFonts w:hint="eastAsia" w:ascii="仿宋" w:hAnsi="仿宋" w:eastAsia="仿宋"/>
                <w:color w:val="000000"/>
                <w:szCs w:val="21"/>
              </w:rPr>
              <w:t xml:space="preserve">                                                  （加盖单位公章）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w:t>
            </w:r>
            <w:r>
              <w:rPr>
                <w:rFonts w:hint="eastAsia" w:ascii="华文中宋" w:hAnsi="华文中宋" w:eastAsia="华文中宋"/>
                <w:sz w:val="24"/>
              </w:rPr>
              <w:t>4</w:t>
            </w:r>
            <w:r>
              <w:rPr>
                <w:rFonts w:ascii="华文中宋" w:hAnsi="华文中宋" w:eastAsia="华文中宋"/>
                <w:sz w:val="24"/>
              </w:rPr>
              <w:t>年    月    日</w:t>
            </w:r>
          </w:p>
          <w:p>
            <w:pPr>
              <w:spacing w:line="380" w:lineRule="exact"/>
              <w:jc w:val="center"/>
              <w:rPr>
                <w:rFonts w:ascii="仿宋" w:hAnsi="仿宋" w:eastAsia="仿宋"/>
                <w:b/>
                <w:color w:val="000000"/>
                <w:szCs w:val="21"/>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Fonts w:ascii="楷体" w:hAnsi="楷体" w:eastAsia="楷体" w:cs="楷体"/>
          <w:sz w:val="28"/>
          <w:szCs w:val="28"/>
        </w:rPr>
        <w:t>www.zgjx.cn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379" w:lineRule="exact"/>
        <w:ind w:left="1180"/>
        <w:rPr>
          <w:rFonts w:hint="eastAsia" w:ascii="楷体" w:hAnsi="楷体" w:eastAsia="楷体" w:cs="楷体"/>
          <w:spacing w:val="1"/>
          <w:position w:val="2"/>
          <w:sz w:val="28"/>
          <w:szCs w:val="28"/>
          <w:lang w:eastAsia="zh-CN"/>
        </w:rPr>
      </w:pPr>
    </w:p>
    <w:sectPr>
      <w:footerReference r:id="rId5" w:type="default"/>
      <w:pgSz w:w="11907" w:h="16839"/>
      <w:pgMar w:top="1431" w:right="1018" w:bottom="1364" w:left="1020" w:header="0" w:footer="120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RjNzUyNzk3NzJlZTE2MTM5ODgzNDRjZjRmMjRkNzEifQ=="/>
  </w:docVars>
  <w:rsids>
    <w:rsidRoot w:val="00000000"/>
    <w:rsid w:val="00BC3A1F"/>
    <w:rsid w:val="113A40DD"/>
    <w:rsid w:val="13284BBD"/>
    <w:rsid w:val="16CF7BB0"/>
    <w:rsid w:val="187446E5"/>
    <w:rsid w:val="1A9A5B22"/>
    <w:rsid w:val="22916662"/>
    <w:rsid w:val="248B7CD0"/>
    <w:rsid w:val="24A56ECB"/>
    <w:rsid w:val="33C87A09"/>
    <w:rsid w:val="3D454E84"/>
    <w:rsid w:val="4AF62C56"/>
    <w:rsid w:val="4B925E04"/>
    <w:rsid w:val="4FDA026B"/>
    <w:rsid w:val="671464E6"/>
    <w:rsid w:val="688651C2"/>
    <w:rsid w:val="6C532EA3"/>
    <w:rsid w:val="72C375B5"/>
    <w:rsid w:val="7F0A2251"/>
    <w:rsid w:val="A5EFCC06"/>
    <w:rsid w:val="C13B7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0"/>
    <w:rPr>
      <w:color w:val="0000FF"/>
      <w:u w:val="single"/>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2023-01-14T06:47:00Z</dcterms:created>
  <dc:creator>THTF</dc:creator>
  <cp:lastModifiedBy>yy</cp:lastModifiedBy>
  <dcterms:modified xsi:type="dcterms:W3CDTF">2024-03-29T06:54:07Z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2024-03-20T09:55:04Z</vt:filetime>
  </property>
  <property fmtid="{D5CDD505-2E9C-101B-9397-08002B2CF9AE}" pid="4" name="KSOProductBuildVer">
    <vt:lpwstr>2052-12.1.0.16388</vt:lpwstr>
  </property>
  <property fmtid="{D5CDD505-2E9C-101B-9397-08002B2CF9AE}" pid="5" name="ICV">
    <vt:lpwstr>60195E011BB447B2894913DE84E498F9_13</vt:lpwstr>
  </property>
</Properties>
</file>