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line="420" w:lineRule="exact"/>
        <w:jc w:val="both"/>
        <w:rPr>
          <w:rFonts w:hint="eastAsia" w:ascii="楷体" w:hAnsi="楷体" w:eastAsia="楷体"/>
          <w:b/>
          <w:bCs/>
          <w:sz w:val="28"/>
          <w:szCs w:val="28"/>
        </w:rPr>
      </w:pPr>
      <w:r>
        <w:rPr>
          <w:rFonts w:hint="eastAsia" w:ascii="楷体" w:hAnsi="楷体" w:eastAsia="楷体"/>
          <w:b/>
          <w:bCs/>
          <w:sz w:val="28"/>
          <w:szCs w:val="28"/>
        </w:rPr>
        <w:t xml:space="preserve">附件4 </w:t>
      </w:r>
    </w:p>
    <w:p>
      <w:pPr>
        <w:widowControl w:val="0"/>
        <w:autoSpaceDE w:val="0"/>
        <w:autoSpaceDN w:val="0"/>
        <w:adjustRightInd w:val="0"/>
        <w:spacing w:line="420" w:lineRule="exact"/>
        <w:jc w:val="both"/>
        <w:rPr>
          <w:rFonts w:hint="eastAsia" w:ascii="楷体" w:hAnsi="楷体" w:eastAsia="楷体"/>
          <w:b/>
          <w:bCs/>
          <w:sz w:val="28"/>
          <w:szCs w:val="28"/>
        </w:rPr>
      </w:pPr>
    </w:p>
    <w:p>
      <w:pPr>
        <w:widowControl w:val="0"/>
        <w:autoSpaceDE w:val="0"/>
        <w:autoSpaceDN w:val="0"/>
        <w:adjustRightInd w:val="0"/>
        <w:spacing w:line="420" w:lineRule="exact"/>
        <w:ind w:firstLine="960" w:firstLineChars="300"/>
        <w:jc w:val="both"/>
        <w:rPr>
          <w:rFonts w:ascii="华文中宋" w:hAnsi="华文中宋" w:eastAsia="华文中宋"/>
          <w:sz w:val="32"/>
          <w:szCs w:val="32"/>
        </w:rPr>
      </w:pPr>
      <w:r>
        <w:rPr>
          <w:rFonts w:hint="eastAsia" w:ascii="华文中宋" w:hAnsi="华文中宋" w:eastAsia="华文中宋"/>
          <w:sz w:val="32"/>
          <w:szCs w:val="32"/>
        </w:rPr>
        <w:t>中国新闻奖报纸、通讯社新闻专栏代表作基本情况</w:t>
      </w:r>
    </w:p>
    <w:tbl>
      <w:tblPr>
        <w:tblStyle w:val="2"/>
        <w:tblpPr w:leftFromText="180" w:rightFromText="180" w:vertAnchor="text" w:horzAnchor="page" w:tblpX="1241" w:tblpY="191"/>
        <w:tblOverlap w:val="never"/>
        <w:tblW w:w="93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8"/>
        <w:gridCol w:w="7742"/>
      </w:tblGrid>
      <w:tr>
        <w:trPr>
          <w:trHeight w:val="664" w:hRule="atLeast"/>
        </w:trPr>
        <w:tc>
          <w:tcPr>
            <w:tcW w:w="1588" w:type="dxa"/>
            <w:vAlign w:val="top"/>
          </w:tcPr>
          <w:p>
            <w:pPr>
              <w:pStyle w:val="4"/>
              <w:spacing w:before="132"/>
              <w:ind w:left="261"/>
              <w:rPr>
                <w:rFonts w:ascii="华文中宋" w:eastAsia="华文中宋"/>
                <w:sz w:val="28"/>
              </w:rPr>
            </w:pPr>
            <w:r>
              <w:rPr>
                <w:rFonts w:hint="eastAsia" w:ascii="华文中宋" w:eastAsia="华文中宋"/>
                <w:sz w:val="28"/>
              </w:rPr>
              <w:t>作品标题</w:t>
            </w:r>
          </w:p>
        </w:tc>
        <w:tc>
          <w:tcPr>
            <w:tcW w:w="7742" w:type="dxa"/>
            <w:vAlign w:val="top"/>
          </w:tcPr>
          <w:p>
            <w:pPr>
              <w:pStyle w:val="4"/>
              <w:spacing w:line="600" w:lineRule="auto"/>
              <w:jc w:val="center"/>
              <w:rPr>
                <w:rFonts w:hint="eastAsia" w:ascii="Times New Roman" w:eastAsia="仿宋"/>
                <w:sz w:val="30"/>
                <w:lang w:val="en-US" w:eastAsia="zh-CN"/>
              </w:rPr>
            </w:pPr>
            <w:r>
              <w:rPr>
                <w:rFonts w:hint="eastAsia" w:ascii="Times New Roman"/>
                <w:sz w:val="30"/>
                <w:lang w:val="en-US" w:eastAsia="zh-CN"/>
              </w:rPr>
              <w:t>资本下乡不能“南辕北辙”</w:t>
            </w:r>
          </w:p>
        </w:tc>
      </w:tr>
      <w:tr>
        <w:trPr>
          <w:trHeight w:val="664" w:hRule="atLeast"/>
        </w:trPr>
        <w:tc>
          <w:tcPr>
            <w:tcW w:w="1588" w:type="dxa"/>
            <w:vAlign w:val="top"/>
          </w:tcPr>
          <w:p>
            <w:pPr>
              <w:pStyle w:val="4"/>
              <w:spacing w:before="132"/>
              <w:ind w:left="261"/>
              <w:rPr>
                <w:rFonts w:ascii="华文中宋" w:eastAsia="华文中宋"/>
                <w:sz w:val="28"/>
              </w:rPr>
            </w:pPr>
            <w:r>
              <w:rPr>
                <w:rFonts w:hint="eastAsia" w:ascii="华文中宋" w:eastAsia="华文中宋"/>
                <w:sz w:val="28"/>
              </w:rPr>
              <w:t>发表日期</w:t>
            </w:r>
          </w:p>
        </w:tc>
        <w:tc>
          <w:tcPr>
            <w:tcW w:w="7742" w:type="dxa"/>
            <w:vAlign w:val="top"/>
          </w:tcPr>
          <w:p>
            <w:pPr>
              <w:pStyle w:val="4"/>
              <w:tabs>
                <w:tab w:val="left" w:pos="1410"/>
                <w:tab w:val="left" w:pos="2250"/>
              </w:tabs>
              <w:spacing w:before="221"/>
              <w:jc w:val="center"/>
              <w:rPr>
                <w:sz w:val="28"/>
              </w:rPr>
            </w:pPr>
            <w:r>
              <w:rPr>
                <w:sz w:val="28"/>
              </w:rPr>
              <w:t>202</w:t>
            </w:r>
            <w:r>
              <w:rPr>
                <w:rFonts w:hint="eastAsia"/>
                <w:sz w:val="28"/>
                <w:lang w:val="en-US" w:eastAsia="zh-CN"/>
              </w:rPr>
              <w:t>3</w:t>
            </w:r>
            <w:r>
              <w:rPr>
                <w:sz w:val="28"/>
              </w:rPr>
              <w:t>年</w:t>
            </w:r>
            <w:r>
              <w:rPr>
                <w:rFonts w:hint="eastAsia"/>
                <w:sz w:val="28"/>
                <w:lang w:val="en-US" w:eastAsia="zh-CN"/>
              </w:rPr>
              <w:t>3</w:t>
            </w:r>
            <w:r>
              <w:rPr>
                <w:sz w:val="28"/>
              </w:rPr>
              <w:t>月</w:t>
            </w:r>
            <w:r>
              <w:rPr>
                <w:rFonts w:hint="eastAsia"/>
                <w:sz w:val="28"/>
                <w:lang w:val="en-US" w:eastAsia="zh-CN"/>
              </w:rPr>
              <w:t>23</w:t>
            </w:r>
            <w:r>
              <w:rPr>
                <w:sz w:val="28"/>
              </w:rPr>
              <w:t>日</w:t>
            </w:r>
          </w:p>
        </w:tc>
      </w:tr>
      <w:tr>
        <w:trPr>
          <w:trHeight w:val="2553" w:hRule="atLeast"/>
        </w:trPr>
        <w:tc>
          <w:tcPr>
            <w:tcW w:w="1588" w:type="dxa"/>
            <w:vAlign w:val="top"/>
          </w:tcPr>
          <w:p>
            <w:pPr>
              <w:pStyle w:val="4"/>
              <w:spacing w:before="2"/>
              <w:jc w:val="center"/>
              <w:rPr>
                <w:rFonts w:ascii="华文中宋"/>
                <w:sz w:val="32"/>
              </w:rPr>
            </w:pPr>
          </w:p>
          <w:p>
            <w:pPr>
              <w:pStyle w:val="4"/>
              <w:spacing w:line="216" w:lineRule="auto"/>
              <w:ind w:left="345" w:right="331"/>
              <w:jc w:val="center"/>
              <w:rPr>
                <w:rFonts w:ascii="华文中宋" w:eastAsia="华文中宋"/>
                <w:sz w:val="28"/>
              </w:rPr>
            </w:pPr>
            <w:r>
              <w:rPr>
                <w:rFonts w:hint="eastAsia" w:ascii="华文中宋" w:eastAsia="华文中宋"/>
                <w:sz w:val="28"/>
              </w:rPr>
              <w:t>作品 评介</w:t>
            </w:r>
          </w:p>
        </w:tc>
        <w:tc>
          <w:tcPr>
            <w:tcW w:w="7742" w:type="dxa"/>
            <w:vAlign w:val="top"/>
          </w:tcPr>
          <w:p>
            <w:pPr>
              <w:pStyle w:val="4"/>
              <w:widowControl w:val="0"/>
              <w:numPr>
                <w:ilvl w:val="0"/>
                <w:numId w:val="1"/>
              </w:numPr>
              <w:autoSpaceDE w:val="0"/>
              <w:autoSpaceDN w:val="0"/>
              <w:rPr>
                <w:rFonts w:hint="eastAsia" w:ascii="Times New Roman"/>
                <w:sz w:val="24"/>
                <w:szCs w:val="24"/>
                <w:lang w:val="en-US" w:eastAsia="zh-CN"/>
              </w:rPr>
            </w:pPr>
            <w:r>
              <w:rPr>
                <w:rFonts w:hint="eastAsia" w:ascii="Times New Roman"/>
                <w:b/>
                <w:bCs/>
                <w:sz w:val="24"/>
                <w:szCs w:val="24"/>
                <w:lang w:val="en-US" w:eastAsia="zh-CN"/>
              </w:rPr>
              <w:t>观点深刻，立场鲜明。</w:t>
            </w:r>
            <w:r>
              <w:rPr>
                <w:rFonts w:hint="eastAsia" w:ascii="Times New Roman"/>
                <w:sz w:val="24"/>
                <w:szCs w:val="24"/>
                <w:lang w:val="en-US" w:eastAsia="zh-CN"/>
              </w:rPr>
              <w:t>文章紧扣习近平总书记重要指示精神，围绕“资本”的相关问题展开深入论述。在文章一开头就明确指出，总书记的嘱托，既是对于社会各种力量投入乡村振兴的殷切希望，也提醒了资本下乡要有所为、有所不为，避免过度逐利给各方带来不利影响。文章观点既有时代性，更具问题导向，牢牢站在了农村农民的立场上。</w:t>
            </w:r>
          </w:p>
          <w:p>
            <w:pPr>
              <w:pStyle w:val="4"/>
              <w:widowControl w:val="0"/>
              <w:numPr>
                <w:ilvl w:val="0"/>
                <w:numId w:val="1"/>
              </w:numPr>
              <w:autoSpaceDE w:val="0"/>
              <w:autoSpaceDN w:val="0"/>
              <w:rPr>
                <w:rFonts w:hint="eastAsia" w:ascii="Times New Roman"/>
                <w:sz w:val="24"/>
                <w:szCs w:val="24"/>
                <w:lang w:val="en-US" w:eastAsia="zh-CN"/>
              </w:rPr>
            </w:pPr>
            <w:r>
              <w:rPr>
                <w:rFonts w:hint="eastAsia" w:ascii="Times New Roman"/>
                <w:b/>
                <w:bCs/>
                <w:sz w:val="24"/>
                <w:szCs w:val="24"/>
                <w:lang w:val="en-US" w:eastAsia="zh-CN"/>
              </w:rPr>
              <w:t>逻辑清晰，论述严谨。</w:t>
            </w:r>
            <w:r>
              <w:rPr>
                <w:rFonts w:hint="eastAsia" w:ascii="Times New Roman"/>
                <w:sz w:val="24"/>
                <w:szCs w:val="24"/>
                <w:lang w:val="en-US" w:eastAsia="zh-CN"/>
              </w:rPr>
              <w:t>文章先提出问题，再解读现象、分析原因，继而给出建议，层次清晰、逻辑严密。在肯定“乡村要振兴，离不开外来资本的助益”的同时，也点出了实践中资本下出现的问题，最后详细论述“投资要投到哪些点上”。</w:t>
            </w:r>
          </w:p>
          <w:p>
            <w:pPr>
              <w:pStyle w:val="4"/>
              <w:widowControl w:val="0"/>
              <w:numPr>
                <w:ilvl w:val="0"/>
                <w:numId w:val="1"/>
              </w:numPr>
              <w:autoSpaceDE w:val="0"/>
              <w:autoSpaceDN w:val="0"/>
              <w:ind w:left="0" w:leftChars="0" w:firstLine="0" w:firstLineChars="0"/>
              <w:rPr>
                <w:rFonts w:hint="eastAsia" w:ascii="Times New Roman"/>
                <w:sz w:val="24"/>
                <w:szCs w:val="24"/>
                <w:lang w:val="en-US" w:eastAsia="zh-CN"/>
              </w:rPr>
            </w:pPr>
            <w:r>
              <w:rPr>
                <w:rFonts w:hint="eastAsia" w:ascii="Times New Roman"/>
                <w:b/>
                <w:bCs/>
                <w:sz w:val="24"/>
                <w:szCs w:val="24"/>
                <w:lang w:val="en-US" w:eastAsia="zh-CN"/>
              </w:rPr>
              <w:t>文风朴实，表达到位。</w:t>
            </w:r>
            <w:r>
              <w:rPr>
                <w:rFonts w:hint="eastAsia" w:ascii="Times New Roman"/>
                <w:b w:val="0"/>
                <w:bCs w:val="0"/>
                <w:sz w:val="24"/>
                <w:szCs w:val="24"/>
                <w:lang w:val="en-US" w:eastAsia="zh-CN"/>
              </w:rPr>
              <w:t>文章从习近平总书记的深刻嘱托进行学习领悟，并针对资本下乡出现的问题深入剖析，最后提出恳切建议：希望工商资本在下乡的时候，能够更好地牢记总书记的叮咛，把好事办好，共同助力乡村振兴，推动农业农村发展，引发广大读者强烈共情。</w:t>
            </w:r>
          </w:p>
          <w:p>
            <w:pPr>
              <w:pStyle w:val="4"/>
              <w:widowControl w:val="0"/>
              <w:numPr>
                <w:ilvl w:val="0"/>
                <w:numId w:val="0"/>
              </w:numPr>
              <w:autoSpaceDE w:val="0"/>
              <w:autoSpaceDN w:val="0"/>
              <w:rPr>
                <w:rFonts w:hint="eastAsia" w:ascii="Times New Roman"/>
                <w:sz w:val="24"/>
                <w:szCs w:val="24"/>
                <w:lang w:val="en-US" w:eastAsia="zh-CN"/>
              </w:rPr>
            </w:pPr>
          </w:p>
        </w:tc>
      </w:tr>
      <w:tr>
        <w:trPr>
          <w:trHeight w:val="2345" w:hRule="atLeast"/>
        </w:trPr>
        <w:tc>
          <w:tcPr>
            <w:tcW w:w="1588" w:type="dxa"/>
            <w:vAlign w:val="top"/>
          </w:tcPr>
          <w:p>
            <w:pPr>
              <w:pStyle w:val="4"/>
              <w:spacing w:before="15"/>
              <w:jc w:val="center"/>
              <w:rPr>
                <w:rFonts w:ascii="华文中宋"/>
                <w:sz w:val="31"/>
              </w:rPr>
            </w:pPr>
          </w:p>
          <w:p>
            <w:pPr>
              <w:pStyle w:val="4"/>
              <w:spacing w:line="216" w:lineRule="auto"/>
              <w:ind w:left="345" w:right="331"/>
              <w:jc w:val="center"/>
              <w:rPr>
                <w:rFonts w:ascii="华文中宋" w:eastAsia="华文中宋"/>
                <w:sz w:val="28"/>
              </w:rPr>
            </w:pPr>
            <w:r>
              <w:rPr>
                <w:rFonts w:hint="eastAsia" w:ascii="华文中宋" w:eastAsia="华文中宋"/>
                <w:sz w:val="28"/>
              </w:rPr>
              <w:t>采编 过程</w:t>
            </w:r>
          </w:p>
        </w:tc>
        <w:tc>
          <w:tcPr>
            <w:tcW w:w="7742" w:type="dxa"/>
            <w:vAlign w:val="top"/>
          </w:tcPr>
          <w:p>
            <w:pPr>
              <w:pStyle w:val="4"/>
              <w:rPr>
                <w:rFonts w:hint="eastAsia" w:ascii="Times New Roman"/>
                <w:sz w:val="24"/>
                <w:szCs w:val="24"/>
                <w:lang w:val="en-US" w:eastAsia="zh-CN"/>
              </w:rPr>
            </w:pPr>
            <w:r>
              <w:rPr>
                <w:rFonts w:hint="eastAsia" w:ascii="Times New Roman"/>
                <w:sz w:val="30"/>
              </w:rPr>
              <w:t>　</w:t>
            </w:r>
            <w:r>
              <w:rPr>
                <w:rFonts w:hint="eastAsia" w:ascii="Times New Roman"/>
                <w:sz w:val="30"/>
                <w:lang w:val="en-US" w:eastAsia="zh-CN"/>
              </w:rPr>
              <w:t xml:space="preserve"> </w:t>
            </w:r>
            <w:r>
              <w:rPr>
                <w:rFonts w:hint="eastAsia" w:ascii="Times New Roman"/>
                <w:sz w:val="24"/>
                <w:szCs w:val="24"/>
                <w:lang w:val="en-US" w:eastAsia="zh-CN"/>
              </w:rPr>
              <w:t xml:space="preserve">2023年全国两会期间，习近平总书记叮嘱道：万企帮万村、万企兴万村，从扶贫到振兴，城乡一体化、工农一体化，民营企业在这方面的潜力是巨大的。但说到资本下乡，投资要投到点上。有的投资南辕北辙，那不行。农民日报评论员敏锐捕捉到这句话对理解新征程上三农工作的重要意义。 </w:t>
            </w:r>
          </w:p>
          <w:p>
            <w:pPr>
              <w:pStyle w:val="4"/>
              <w:ind w:firstLine="480" w:firstLineChars="200"/>
              <w:rPr>
                <w:rFonts w:ascii="Times New Roman"/>
                <w:sz w:val="30"/>
                <w:lang w:val="en-US"/>
              </w:rPr>
            </w:pPr>
            <w:r>
              <w:rPr>
                <w:rFonts w:hint="eastAsia" w:ascii="Times New Roman"/>
                <w:sz w:val="24"/>
                <w:szCs w:val="24"/>
                <w:lang w:val="en-US" w:eastAsia="zh-CN"/>
              </w:rPr>
              <w:t>近年来，工商资本在促进农村产业发展、参与乡村建设、缩小城乡差距等方面发挥了巨大作用，成绩有目共睹。然而，资本下乡中也存在一些不良现象，有些地方把农业大棚搞成了“小别墅”，导致18亿亩红线受到威胁；有的项目申报后却不经营，只为谋取国家涉农补助和项目扶持资金；有的投资“富了老板，忘了老乡”。随着乡村越来越具有吸引力，工商资本下乡的积极性也在增加，落实好总书记对资本下乡的重要指示精神十分重要。基于这</w:t>
            </w:r>
            <w:bookmarkStart w:id="0" w:name="_GoBack"/>
            <w:bookmarkEnd w:id="0"/>
            <w:r>
              <w:rPr>
                <w:rFonts w:hint="eastAsia" w:ascii="Times New Roman"/>
                <w:sz w:val="24"/>
                <w:szCs w:val="24"/>
                <w:lang w:val="en-US" w:eastAsia="zh-CN"/>
              </w:rPr>
              <w:t>种认识，农民日报第一时间推出评论员文章，独家深度阐释总书记涉农“金句”。评论成稿后，在农民日报一版“三农学习谈”栏目推出，并录制主播口播视频，在各大新媒体平台以“文字评论+原创视频+设计产品”的融媒体传播形式推出。</w:t>
            </w:r>
          </w:p>
        </w:tc>
      </w:tr>
      <w:tr>
        <w:trPr>
          <w:trHeight w:val="1806" w:hRule="atLeast"/>
        </w:trPr>
        <w:tc>
          <w:tcPr>
            <w:tcW w:w="1588" w:type="dxa"/>
            <w:vAlign w:val="top"/>
          </w:tcPr>
          <w:p>
            <w:pPr>
              <w:pStyle w:val="4"/>
              <w:jc w:val="center"/>
              <w:rPr>
                <w:rFonts w:ascii="华文中宋"/>
                <w:sz w:val="32"/>
              </w:rPr>
            </w:pPr>
          </w:p>
          <w:p>
            <w:pPr>
              <w:pStyle w:val="4"/>
              <w:spacing w:line="216" w:lineRule="auto"/>
              <w:ind w:left="345" w:right="331"/>
              <w:jc w:val="center"/>
              <w:rPr>
                <w:rFonts w:hint="eastAsia" w:ascii="华文中宋" w:eastAsia="华文中宋"/>
                <w:sz w:val="28"/>
              </w:rPr>
            </w:pPr>
            <w:r>
              <w:rPr>
                <w:rFonts w:hint="eastAsia" w:ascii="华文中宋" w:eastAsia="华文中宋"/>
                <w:sz w:val="28"/>
              </w:rPr>
              <w:t>社会</w:t>
            </w:r>
          </w:p>
          <w:p>
            <w:pPr>
              <w:pStyle w:val="4"/>
              <w:spacing w:line="216" w:lineRule="auto"/>
              <w:ind w:left="345" w:right="331"/>
              <w:jc w:val="center"/>
              <w:rPr>
                <w:rFonts w:ascii="华文中宋" w:eastAsia="华文中宋"/>
                <w:sz w:val="28"/>
              </w:rPr>
            </w:pPr>
            <w:r>
              <w:rPr>
                <w:rFonts w:hint="eastAsia" w:ascii="华文中宋" w:eastAsia="华文中宋"/>
                <w:sz w:val="28"/>
              </w:rPr>
              <w:t>效果</w:t>
            </w:r>
          </w:p>
        </w:tc>
        <w:tc>
          <w:tcPr>
            <w:tcW w:w="7742" w:type="dxa"/>
            <w:vAlign w:val="top"/>
          </w:tcPr>
          <w:p>
            <w:pPr>
              <w:pStyle w:val="4"/>
              <w:ind w:firstLine="480" w:firstLineChars="200"/>
              <w:rPr>
                <w:rFonts w:hint="eastAsia" w:ascii="Times New Roman"/>
                <w:sz w:val="30"/>
                <w:lang w:val="en-US" w:eastAsia="zh-CN"/>
              </w:rPr>
            </w:pPr>
            <w:r>
              <w:rPr>
                <w:rFonts w:hint="eastAsia" w:ascii="Times New Roman"/>
                <w:sz w:val="24"/>
                <w:szCs w:val="24"/>
                <w:lang w:val="en-US" w:eastAsia="zh-CN"/>
              </w:rPr>
              <w:t>文章发表后，短时间内就被数十家媒体转载，全网相关话题阅读量超过100万，微博单篇阅读量超过10万，产生良好社会反响。相关政府部门就文章提出的问题，专门召开座谈会，对工商资本下乡加大支持力度并加强监管，在2023年查处了一批片面追求利润，到农村“挂羊头卖狗肉”，导致投资“南辕北辙”的项目。文章为真正发挥工商资本的优势，完善利益联结机制，把更多资金投入到农业产业、服务业、基础设施建设以及科技创新上，带动农民一起干、一起赚，形成产业链优势互补、分工合作的格局作出积极贡献。</w:t>
            </w:r>
          </w:p>
        </w:tc>
      </w:tr>
    </w:tbl>
    <w:p>
      <w:pPr>
        <w:widowControl w:val="0"/>
        <w:autoSpaceDE w:val="0"/>
        <w:autoSpaceDN w:val="0"/>
        <w:adjustRightInd w:val="0"/>
        <w:spacing w:line="200" w:lineRule="exact"/>
        <w:jc w:val="both"/>
        <w:rPr>
          <w:rFonts w:ascii="仿宋_GB2312" w:hAnsi="仿宋" w:eastAsia="仿宋_GB2312" w:cs="华文中宋"/>
          <w:sz w:val="24"/>
          <w:szCs w:val="24"/>
        </w:rPr>
      </w:pPr>
    </w:p>
    <w:p>
      <w:pPr>
        <w:widowControl w:val="0"/>
        <w:rPr>
          <w:rFonts w:hint="eastAsia" w:ascii="楷体" w:hAnsi="楷体" w:eastAsia="楷体"/>
          <w:sz w:val="28"/>
        </w:rPr>
      </w:pPr>
      <w:r>
        <w:rPr>
          <w:rFonts w:hint="eastAsia" w:ascii="楷体" w:hAnsi="楷体" w:eastAsia="楷体"/>
          <w:sz w:val="28"/>
        </w:rPr>
        <w:t>此表可从中国记协网www.zgjx.cn下载，上、下半年代表作前各附1张。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汉仪书宋二KW"/>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2BE78"/>
    <w:multiLevelType w:val="singleLevel"/>
    <w:tmpl w:val="75D2BE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ZDI3NTkxM2U3Mjc1OWJkYjg3NzYxZjY4YTEwOGMifQ=="/>
  </w:docVars>
  <w:rsids>
    <w:rsidRoot w:val="00000000"/>
    <w:rsid w:val="044D7C30"/>
    <w:rsid w:val="1DC86D85"/>
    <w:rsid w:val="29310FBD"/>
    <w:rsid w:val="577DDA46"/>
    <w:rsid w:val="5A8B2712"/>
    <w:rsid w:val="5EE26901"/>
    <w:rsid w:val="66131D84"/>
    <w:rsid w:val="ABD7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widowControl w:val="0"/>
      <w:autoSpaceDE w:val="0"/>
      <w:autoSpaceDN w:val="0"/>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792</Words>
  <Characters>808</Characters>
  <Lines>0</Lines>
  <Paragraphs>0</Paragraphs>
  <TotalTime>28</TotalTime>
  <ScaleCrop>false</ScaleCrop>
  <LinksUpToDate>false</LinksUpToDate>
  <CharactersWithSpaces>813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Administrator</dc:creator>
  <cp:lastModifiedBy>髙小雅儿</cp:lastModifiedBy>
  <dcterms:modified xsi:type="dcterms:W3CDTF">2024-03-24T14:39:22Z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ACD05CC388B277B39ACAFF659989A921_43</vt:lpwstr>
  </property>
</Properties>
</file>