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0"/>
        <w:gridCol w:w="558"/>
        <w:gridCol w:w="764"/>
        <w:gridCol w:w="1741"/>
        <w:gridCol w:w="1088"/>
        <w:gridCol w:w="613"/>
        <w:gridCol w:w="615"/>
        <w:gridCol w:w="617"/>
        <w:gridCol w:w="10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“墙”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(单幅/组画(长图)/动画/国际传播)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集体（王铎、刘诗麟）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李竟涵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赵宇恒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胡聪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2023年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月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19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“墙”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(发布端/账号/版次</w:t>
            </w:r>
            <w:r>
              <w:rPr>
                <w:rFonts w:ascii="华文中宋" w:hAnsi="华文中宋" w:eastAsia="华文中宋"/>
                <w:color w:val="000000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)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农民日报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观点5版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4011" w:type="pct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该作品直指当前“基层政务App名目繁多，令基层干部陷入形式主义”现象。由于手机政务App可以简化工作流程，给群众办事提供便捷，地方政府部门开发大量办事App，却让基层干部陷入了形式主义，忙着“键对键”，顾不上“面对面”。该作品以“墙”为喻，意在“数字形式主义”如同一堵无形的墙，隔开了干部与群众，造成“墙内干部忙得流汗，墙外群众急得挠头”，揭示了“指尖上的形式主义”背离了基层治理为人民服务的初衷。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作品在《农民日报》刊发后受到社会广泛好评。自手机政务App推行以来，在便利群众办事同时，基层干部增加额外工作压力、陷入形式主义的情况时有发生。该作品立足这一社会现实，通过漫画形式生动形象地传递了警示声音，启发了各地须对此类现象下大力气整治，让政务App回归本质，让基层干部有更多时间到一线去，达到了为群众办实事发声的社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该作品运用了比喻、反讽、夸张的表现手法，揭示了基层政务App滋生“指尖上的形式主义”现实。画面看似简洁却意味深刻，仅用一堵墙立在画面中央，使读者直观地体会到名目繁多的政务App所造成的危害：隔开了干部群众，疏远了干群关系。画面中，墙外办事群众手举“问题”挠头，墙内干部脚步不停忙着“打卡”，人物表现留给了读者想象空间。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4" w:type="pct"/>
            <w:gridSpan w:val="1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6" w:type="pct"/>
            <w:gridSpan w:val="4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8" w:type="pct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6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8" w:type="pct"/>
            <w:gridSpan w:val="4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nmrbxwxtb@163.com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4" w:type="pct"/>
            <w:gridSpan w:val="7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北京市朝阳区惠新西街15号农民日报社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357" w:type="pct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3642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620" w:lineRule="exact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cr/>
      </w:r>
    </w:p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588" w:right="1247" w:bottom="1440" w:left="124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NzUyNzk3NzJlZTE2MTM5ODgzNDRjZjRmMjRkNzEifQ=="/>
  </w:docVars>
  <w:rsids>
    <w:rsidRoot w:val="00127246"/>
    <w:rsid w:val="00040283"/>
    <w:rsid w:val="00127246"/>
    <w:rsid w:val="001964AB"/>
    <w:rsid w:val="00923E51"/>
    <w:rsid w:val="0E15476E"/>
    <w:rsid w:val="14D25167"/>
    <w:rsid w:val="1514031A"/>
    <w:rsid w:val="29A900F9"/>
    <w:rsid w:val="2E7806D6"/>
    <w:rsid w:val="31B47C77"/>
    <w:rsid w:val="3B2C4D22"/>
    <w:rsid w:val="3CBF4279"/>
    <w:rsid w:val="43506A05"/>
    <w:rsid w:val="478832E0"/>
    <w:rsid w:val="47B10A89"/>
    <w:rsid w:val="495A6EFE"/>
    <w:rsid w:val="4BAF4D82"/>
    <w:rsid w:val="61006A07"/>
    <w:rsid w:val="620D6DAC"/>
    <w:rsid w:val="6E9D190A"/>
    <w:rsid w:val="775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autoRedefine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2653</Characters>
  <Lines>22</Lines>
  <Paragraphs>6</Paragraphs>
  <TotalTime>0</TotalTime>
  <ScaleCrop>false</ScaleCrop>
  <LinksUpToDate>false</LinksUpToDate>
  <CharactersWithSpaces>3112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2024-03-28T06:18:00Z</dcterms:created>
  <dc:creator>acer</dc:creator>
  <cp:lastModifiedBy>yy</cp:lastModifiedBy>
  <dcterms:modified xsi:type="dcterms:W3CDTF">2024-04-18T06:08:13Z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1D8504990AAC4390ADF5CA924BDD1202_12</vt:lpwstr>
  </property>
</Properties>
</file>